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97" w:rsidRDefault="00363797" w:rsidP="004D54C7">
      <w:pPr>
        <w:pStyle w:val="PlainText"/>
      </w:pPr>
      <w:r>
        <w:rPr>
          <w:noProof/>
        </w:rPr>
        <w:drawing>
          <wp:inline distT="0" distB="0" distL="0" distR="0">
            <wp:extent cx="5731510" cy="19037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 with tagline.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903730"/>
                    </a:xfrm>
                    <a:prstGeom prst="rect">
                      <a:avLst/>
                    </a:prstGeom>
                  </pic:spPr>
                </pic:pic>
              </a:graphicData>
            </a:graphic>
          </wp:inline>
        </w:drawing>
      </w:r>
    </w:p>
    <w:p w:rsidR="00363797" w:rsidRDefault="00363797" w:rsidP="004D54C7">
      <w:pPr>
        <w:pStyle w:val="PlainText"/>
      </w:pPr>
      <w:r>
        <w:rPr>
          <w:rFonts w:ascii="Century Gothic" w:eastAsia="SimSun" w:hAnsi="Century Gothic" w:cs="Calibri"/>
          <w:b/>
          <w:noProof/>
          <w:sz w:val="36"/>
          <w:szCs w:val="36"/>
        </w:rPr>
        <w:drawing>
          <wp:inline distT="0" distB="0" distL="0" distR="0">
            <wp:extent cx="8243570" cy="50165"/>
            <wp:effectExtent l="0" t="0" r="5080" b="698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3570" cy="50165"/>
                    </a:xfrm>
                    <a:prstGeom prst="rect">
                      <a:avLst/>
                    </a:prstGeom>
                    <a:noFill/>
                    <a:ln>
                      <a:noFill/>
                    </a:ln>
                  </pic:spPr>
                </pic:pic>
              </a:graphicData>
            </a:graphic>
          </wp:inline>
        </w:drawing>
      </w:r>
    </w:p>
    <w:p w:rsidR="00363797" w:rsidRPr="00363797" w:rsidRDefault="00363797" w:rsidP="006653ED">
      <w:pPr>
        <w:pStyle w:val="PlainText"/>
        <w:rPr>
          <w:rFonts w:ascii="Century Gothic" w:hAnsi="Century Gothic"/>
          <w:b/>
          <w:bCs/>
          <w:sz w:val="40"/>
          <w:szCs w:val="40"/>
        </w:rPr>
      </w:pPr>
      <w:r w:rsidRPr="00363797">
        <w:rPr>
          <w:rFonts w:ascii="Century Gothic" w:hAnsi="Century Gothic"/>
          <w:b/>
          <w:bCs/>
          <w:sz w:val="40"/>
          <w:szCs w:val="40"/>
        </w:rPr>
        <w:t xml:space="preserve">Monthly update – </w:t>
      </w:r>
      <w:r w:rsidR="006653ED">
        <w:rPr>
          <w:rFonts w:ascii="Century Gothic" w:hAnsi="Century Gothic"/>
          <w:b/>
          <w:bCs/>
          <w:sz w:val="40"/>
          <w:szCs w:val="40"/>
        </w:rPr>
        <w:t>March</w:t>
      </w:r>
      <w:r w:rsidRPr="00363797">
        <w:rPr>
          <w:rFonts w:ascii="Century Gothic" w:hAnsi="Century Gothic"/>
          <w:b/>
          <w:bCs/>
          <w:sz w:val="40"/>
          <w:szCs w:val="40"/>
        </w:rPr>
        <w:t xml:space="preserve"> 2016</w:t>
      </w:r>
    </w:p>
    <w:p w:rsidR="00363797" w:rsidRDefault="00363797" w:rsidP="004D54C7">
      <w:pPr>
        <w:pStyle w:val="PlainText"/>
      </w:pPr>
    </w:p>
    <w:p w:rsidR="004D54C7" w:rsidRDefault="004D54C7" w:rsidP="004D54C7">
      <w:pPr>
        <w:pStyle w:val="PlainText"/>
      </w:pPr>
      <w:r>
        <w:t>Dear colleagues,</w:t>
      </w:r>
    </w:p>
    <w:p w:rsidR="004D54C7" w:rsidRDefault="004D54C7" w:rsidP="004D54C7">
      <w:pPr>
        <w:pStyle w:val="PlainText"/>
      </w:pPr>
    </w:p>
    <w:p w:rsidR="00363797" w:rsidRDefault="004D54C7" w:rsidP="00363797">
      <w:pPr>
        <w:pStyle w:val="PlainText"/>
      </w:pPr>
      <w:r>
        <w:t xml:space="preserve">Many thanks to all of you for your ongoing support and inputs to the Health Data Collaborative this last month through the core team, working groups, country efforts, </w:t>
      </w:r>
      <w:r w:rsidR="00D37CAF">
        <w:t xml:space="preserve">and the </w:t>
      </w:r>
      <w:r w:rsidR="00D7630A">
        <w:t>launch event.</w:t>
      </w:r>
      <w:r w:rsidR="00277014">
        <w:t xml:space="preserve"> </w:t>
      </w:r>
      <w:r>
        <w:t>Below please find our third monthly update and highlights of upcoming events.</w:t>
      </w:r>
    </w:p>
    <w:p w:rsidR="004D54C7" w:rsidRDefault="004D54C7" w:rsidP="004D54C7">
      <w:pPr>
        <w:pStyle w:val="PlainText"/>
      </w:pPr>
    </w:p>
    <w:p w:rsidR="00D7630A" w:rsidRPr="00363797" w:rsidRDefault="00D7630A" w:rsidP="00726E7F">
      <w:pPr>
        <w:pStyle w:val="Heading1"/>
      </w:pPr>
      <w:r w:rsidRPr="00363797">
        <w:t>1.</w:t>
      </w:r>
      <w:r w:rsidR="00363797">
        <w:t xml:space="preserve"> </w:t>
      </w:r>
      <w:r w:rsidRPr="00363797">
        <w:t>Country updates</w:t>
      </w:r>
    </w:p>
    <w:p w:rsidR="00D7630A" w:rsidRDefault="00D7630A" w:rsidP="00D7630A">
      <w:pPr>
        <w:pStyle w:val="PlainText"/>
      </w:pPr>
      <w:r>
        <w:t xml:space="preserve">Please see the attached country matrix for an overview of country engagement by </w:t>
      </w:r>
      <w:r w:rsidR="007E5D00">
        <w:t xml:space="preserve">the Health Data Collaborative. </w:t>
      </w:r>
      <w:r>
        <w:t>Some highlights below:</w:t>
      </w:r>
    </w:p>
    <w:p w:rsidR="00D7630A" w:rsidRDefault="00D7630A" w:rsidP="00D7630A">
      <w:pPr>
        <w:pStyle w:val="PlainText"/>
      </w:pPr>
    </w:p>
    <w:p w:rsidR="00D7630A" w:rsidRDefault="00D7630A" w:rsidP="007E5D00">
      <w:pPr>
        <w:pStyle w:val="PlainText"/>
      </w:pPr>
      <w:r w:rsidRPr="00D7630A">
        <w:rPr>
          <w:b/>
          <w:bCs/>
        </w:rPr>
        <w:t>Liberia:</w:t>
      </w:r>
      <w:r>
        <w:t xml:space="preserve"> A </w:t>
      </w:r>
      <w:r w:rsidR="00191DE0">
        <w:t>joint</w:t>
      </w:r>
      <w:r w:rsidR="00216004">
        <w:t xml:space="preserve"> </w:t>
      </w:r>
      <w:r>
        <w:t xml:space="preserve">partner mission to assess the country M&amp;E capacities in the context of the IHP+ Compact signature took place </w:t>
      </w:r>
      <w:r w:rsidRPr="00277014">
        <w:t>14 -18 March</w:t>
      </w:r>
      <w:r>
        <w:t xml:space="preserve">. A document outlining priority actions resulting from this mission and related planned activities is attached. The document builds on </w:t>
      </w:r>
      <w:r w:rsidR="00216004">
        <w:t>the current work of in-country partners (e.g., HIS</w:t>
      </w:r>
      <w:r w:rsidR="007E5D00">
        <w:t xml:space="preserve"> assessment, HIS strategic plan</w:t>
      </w:r>
      <w:r w:rsidR="00216004">
        <w:t xml:space="preserve">), and on the outputs of the M&amp;E workshop conducted during the mission.  </w:t>
      </w:r>
    </w:p>
    <w:p w:rsidR="00D7630A" w:rsidRDefault="00D7630A" w:rsidP="00D7630A">
      <w:pPr>
        <w:pStyle w:val="PlainText"/>
      </w:pPr>
    </w:p>
    <w:p w:rsidR="00D7630A" w:rsidRDefault="00D7630A" w:rsidP="00A349F2">
      <w:pPr>
        <w:pStyle w:val="PlainText"/>
      </w:pPr>
      <w:r w:rsidRPr="00D7630A">
        <w:rPr>
          <w:b/>
          <w:bCs/>
        </w:rPr>
        <w:t>Kenya:</w:t>
      </w:r>
      <w:r w:rsidRPr="00D7630A">
        <w:t xml:space="preserve"> Further to the request from the Permanent Secretary of the Ministry of Health in Kenya, the Ministry of Health is proposing a multi-partner mission for a high level launch of the </w:t>
      </w:r>
      <w:r w:rsidR="00216004">
        <w:t>H</w:t>
      </w:r>
      <w:r w:rsidRPr="00D7630A">
        <w:t xml:space="preserve">ealth </w:t>
      </w:r>
      <w:r w:rsidR="00216004">
        <w:t>D</w:t>
      </w:r>
      <w:r w:rsidRPr="00D7630A">
        <w:t xml:space="preserve">ata </w:t>
      </w:r>
      <w:r w:rsidR="00216004">
        <w:t>C</w:t>
      </w:r>
      <w:r w:rsidRPr="00D7630A">
        <w:t xml:space="preserve">ollaborative work starting week of </w:t>
      </w:r>
      <w:r w:rsidRPr="00D7630A">
        <w:rPr>
          <w:b/>
          <w:bCs/>
        </w:rPr>
        <w:t>16-20 May</w:t>
      </w:r>
      <w:r w:rsidR="007E5D00">
        <w:t xml:space="preserve">. </w:t>
      </w:r>
      <w:r w:rsidRPr="00D7630A">
        <w:t xml:space="preserve">The mission would include representation from the sector </w:t>
      </w:r>
      <w:r>
        <w:t xml:space="preserve">players, counties, </w:t>
      </w:r>
      <w:r w:rsidRPr="00D7630A">
        <w:t>partners (donors and implementing partners); civil society</w:t>
      </w:r>
      <w:r>
        <w:t>; leaders; line ministries</w:t>
      </w:r>
      <w:r w:rsidR="007E5D00">
        <w:t xml:space="preserve"> including </w:t>
      </w:r>
      <w:r w:rsidR="000C352A">
        <w:t>finance, the D</w:t>
      </w:r>
      <w:r>
        <w:t xml:space="preserve">epartment of births and deaths registration </w:t>
      </w:r>
      <w:r w:rsidR="000C352A">
        <w:t>as well as high level mee</w:t>
      </w:r>
      <w:r w:rsidR="007A677C">
        <w:t xml:space="preserve">tings with the MOH leadership. </w:t>
      </w:r>
      <w:r>
        <w:t>Key priorities</w:t>
      </w:r>
      <w:r w:rsidR="000C352A">
        <w:t xml:space="preserve"> identified by the MOH as opportunities </w:t>
      </w:r>
      <w:r>
        <w:t>for collective action</w:t>
      </w:r>
      <w:r w:rsidR="000C352A">
        <w:t xml:space="preserve"> </w:t>
      </w:r>
      <w:r w:rsidR="007E5D00">
        <w:t xml:space="preserve">include: </w:t>
      </w:r>
      <w:r>
        <w:t xml:space="preserve">(1) Analytical support for the </w:t>
      </w:r>
      <w:r w:rsidRPr="00EC6287">
        <w:t>mid-term evaluatio</w:t>
      </w:r>
      <w:r>
        <w:t xml:space="preserve">n of the sector strategic plan, including subnational analyses; (2) </w:t>
      </w:r>
      <w:r w:rsidR="000C352A">
        <w:t xml:space="preserve">Alignment of investments in Kenya’s HMIS; (3) </w:t>
      </w:r>
      <w:r>
        <w:t>Rev</w:t>
      </w:r>
      <w:r w:rsidRPr="00EC6287">
        <w:t>iew of quality</w:t>
      </w:r>
      <w:r w:rsidRPr="00D7630A">
        <w:rPr>
          <w:u w:val="single"/>
        </w:rPr>
        <w:t xml:space="preserve"> </w:t>
      </w:r>
      <w:r w:rsidRPr="00EC6287">
        <w:t>of care</w:t>
      </w:r>
      <w:r>
        <w:t xml:space="preserve"> monitoring; (</w:t>
      </w:r>
      <w:r w:rsidR="000C352A">
        <w:t>4</w:t>
      </w:r>
      <w:r>
        <w:t>) enhancement of the Kenya</w:t>
      </w:r>
      <w:r w:rsidRPr="00EC6287">
        <w:t xml:space="preserve"> Health Observatory</w:t>
      </w:r>
      <w:r w:rsidR="000C352A">
        <w:t>.</w:t>
      </w:r>
      <w:r>
        <w:t xml:space="preserve"> </w:t>
      </w:r>
      <w:r w:rsidR="000C352A">
        <w:t>The M</w:t>
      </w:r>
      <w:r w:rsidR="00216004">
        <w:t>o</w:t>
      </w:r>
      <w:r w:rsidR="000C352A">
        <w:t xml:space="preserve">H is currently preparing a </w:t>
      </w:r>
      <w:r w:rsidR="007E5D00">
        <w:t xml:space="preserve">concept note and invitations. </w:t>
      </w:r>
      <w:r w:rsidR="000C352A">
        <w:t>Please advise</w:t>
      </w:r>
      <w:r w:rsidR="00A349F2">
        <w:t xml:space="preserve"> Kathleen </w:t>
      </w:r>
      <w:proofErr w:type="spellStart"/>
      <w:r w:rsidR="00A349F2">
        <w:t>Tiffay</w:t>
      </w:r>
      <w:proofErr w:type="spellEnd"/>
      <w:r w:rsidR="00A349F2">
        <w:t xml:space="preserve"> (</w:t>
      </w:r>
      <w:hyperlink r:id="rId10" w:history="1">
        <w:r w:rsidR="00A349F2" w:rsidRPr="000255A5">
          <w:rPr>
            <w:rStyle w:val="Hyperlink"/>
          </w:rPr>
          <w:t>tiffayk@who.int</w:t>
        </w:r>
      </w:hyperlink>
      <w:r w:rsidR="00A349F2">
        <w:t xml:space="preserve">) </w:t>
      </w:r>
      <w:r w:rsidR="000C352A">
        <w:t>of your agency’s interest in participating.</w:t>
      </w:r>
    </w:p>
    <w:p w:rsidR="00D7630A" w:rsidRDefault="00D7630A" w:rsidP="00D7630A">
      <w:pPr>
        <w:pStyle w:val="PlainText"/>
      </w:pPr>
    </w:p>
    <w:p w:rsidR="00D7630A" w:rsidRDefault="00D7630A" w:rsidP="007E5D00">
      <w:pPr>
        <w:pStyle w:val="PlainText"/>
      </w:pPr>
      <w:r w:rsidRPr="00D7630A">
        <w:rPr>
          <w:b/>
          <w:bCs/>
        </w:rPr>
        <w:t>Malawi:</w:t>
      </w:r>
      <w:r>
        <w:t xml:space="preserve"> </w:t>
      </w:r>
      <w:r w:rsidR="000C352A">
        <w:t>As a follow up to the multi-</w:t>
      </w:r>
      <w:r w:rsidR="00216004">
        <w:t xml:space="preserve">partner </w:t>
      </w:r>
      <w:r w:rsidR="000C352A">
        <w:t xml:space="preserve">planning mission in November, a technical support mission by WHO will take place </w:t>
      </w:r>
      <w:r w:rsidR="000C352A" w:rsidRPr="000C352A">
        <w:rPr>
          <w:b/>
          <w:bCs/>
        </w:rPr>
        <w:t>7-15 April</w:t>
      </w:r>
      <w:r w:rsidR="000C352A">
        <w:t xml:space="preserve"> to support the M</w:t>
      </w:r>
      <w:r w:rsidR="00216004">
        <w:t>o</w:t>
      </w:r>
      <w:r w:rsidR="000C352A">
        <w:t xml:space="preserve">H in the development of the </w:t>
      </w:r>
      <w:r>
        <w:t xml:space="preserve">M&amp;E </w:t>
      </w:r>
      <w:r w:rsidR="00216004">
        <w:t xml:space="preserve">framework and </w:t>
      </w:r>
      <w:r>
        <w:t xml:space="preserve">plan of the National Health Sector </w:t>
      </w:r>
      <w:r w:rsidR="00216004">
        <w:t xml:space="preserve">Strategic </w:t>
      </w:r>
      <w:r>
        <w:t>Plan</w:t>
      </w:r>
      <w:r w:rsidR="000C352A">
        <w:t>. This will</w:t>
      </w:r>
      <w:r>
        <w:t xml:space="preserve"> </w:t>
      </w:r>
      <w:r w:rsidR="000C352A">
        <w:t>include working with national M</w:t>
      </w:r>
      <w:r w:rsidR="00216004">
        <w:t>o</w:t>
      </w:r>
      <w:r w:rsidR="000C352A">
        <w:t>H staff</w:t>
      </w:r>
      <w:r w:rsidR="00216004">
        <w:t>, partners and other stakeholders (</w:t>
      </w:r>
      <w:r w:rsidR="007E5D00">
        <w:t xml:space="preserve">e.g. </w:t>
      </w:r>
      <w:r w:rsidR="00216004">
        <w:t>Ministry of Planning, National Statistics</w:t>
      </w:r>
      <w:r w:rsidR="007E5D00">
        <w:t xml:space="preserve"> Office</w:t>
      </w:r>
      <w:r w:rsidR="00216004">
        <w:t>).</w:t>
      </w:r>
      <w:r w:rsidR="000C352A">
        <w:t xml:space="preserve"> </w:t>
      </w:r>
      <w:r w:rsidR="00216004">
        <w:t xml:space="preserve">It will </w:t>
      </w:r>
      <w:r w:rsidR="007E5D00">
        <w:t>also</w:t>
      </w:r>
      <w:r w:rsidR="000C352A">
        <w:t xml:space="preserve"> include alignment of the health sector and programme specific plans, </w:t>
      </w:r>
      <w:r w:rsidR="00216004">
        <w:t xml:space="preserve">and </w:t>
      </w:r>
      <w:r w:rsidR="000C352A">
        <w:t xml:space="preserve">a costing exercise. </w:t>
      </w:r>
      <w:r w:rsidR="00216004">
        <w:t xml:space="preserve">The draft plan will be the basis of the M&amp;E common investment framework, which will be discussed and eventually </w:t>
      </w:r>
      <w:r w:rsidR="00D16223">
        <w:t>endorsed i</w:t>
      </w:r>
      <w:r w:rsidR="00216004">
        <w:t xml:space="preserve">n </w:t>
      </w:r>
      <w:r w:rsidR="000C352A">
        <w:t xml:space="preserve">a validation </w:t>
      </w:r>
      <w:r w:rsidR="00D16223">
        <w:t xml:space="preserve">multi-stakeholder </w:t>
      </w:r>
      <w:r w:rsidR="000C352A">
        <w:t xml:space="preserve">workshop </w:t>
      </w:r>
      <w:r w:rsidR="00003625">
        <w:t xml:space="preserve">at the end of Q2 </w:t>
      </w:r>
      <w:r w:rsidR="007E5D00">
        <w:t>(dates to be confirmed).</w:t>
      </w:r>
    </w:p>
    <w:p w:rsidR="00D7630A" w:rsidRPr="00277014" w:rsidRDefault="00D7630A" w:rsidP="00B24117">
      <w:pPr>
        <w:pStyle w:val="PlainText"/>
        <w:rPr>
          <w:b/>
          <w:bCs/>
        </w:rPr>
      </w:pPr>
    </w:p>
    <w:p w:rsidR="00363797" w:rsidRDefault="00363797">
      <w:pPr>
        <w:rPr>
          <w:rFonts w:ascii="Century Gothic" w:hAnsi="Century Gothic"/>
          <w:b/>
          <w:bCs/>
          <w:color w:val="4CA146"/>
          <w:sz w:val="36"/>
          <w:szCs w:val="36"/>
        </w:rPr>
      </w:pPr>
      <w:r>
        <w:br w:type="page"/>
      </w:r>
    </w:p>
    <w:p w:rsidR="000C352A" w:rsidRPr="00277014" w:rsidRDefault="000C352A" w:rsidP="00726E7F">
      <w:pPr>
        <w:pStyle w:val="Heading1"/>
      </w:pPr>
      <w:r w:rsidRPr="00277014">
        <w:lastRenderedPageBreak/>
        <w:t>2.</w:t>
      </w:r>
      <w:r w:rsidR="00726E7F">
        <w:t xml:space="preserve"> </w:t>
      </w:r>
      <w:r w:rsidRPr="00277014">
        <w:t>Working groups</w:t>
      </w:r>
    </w:p>
    <w:p w:rsidR="00277014" w:rsidRDefault="000C352A" w:rsidP="007A677C">
      <w:pPr>
        <w:pStyle w:val="PlainText"/>
      </w:pPr>
      <w:r>
        <w:t>Many thanks to all of you for your a</w:t>
      </w:r>
      <w:r w:rsidR="00277014">
        <w:t xml:space="preserve">ctive engagement in leading and/or participating in the working group process. </w:t>
      </w:r>
      <w:r>
        <w:t>The first conference call for working group leads was organised on 31 March, with participation by 23 leads from 12 different agencies. The</w:t>
      </w:r>
      <w:r w:rsidR="00A349F2">
        <w:t xml:space="preserve"> purpose of the meeting was to review</w:t>
      </w:r>
      <w:r>
        <w:t xml:space="preserve"> progress by all working groups, highlight opportunities for synergies between groups, and clarify next steps and coordination. </w:t>
      </w:r>
    </w:p>
    <w:p w:rsidR="00277014" w:rsidRDefault="00277014" w:rsidP="00277014">
      <w:pPr>
        <w:pStyle w:val="PlainText"/>
      </w:pPr>
    </w:p>
    <w:p w:rsidR="000C352A" w:rsidRDefault="000C352A" w:rsidP="007E5D00">
      <w:pPr>
        <w:pStyle w:val="PlainText"/>
      </w:pPr>
      <w:r>
        <w:t xml:space="preserve">Working groups will leverage existing mechanisms and build on and strengthen existing networks to deliver on the specific global and country level results outlined in the Health Data Collaborative operational workplan. Seven of the nine groups have already developed terms of reference, with others to follow soon. Next steps include moving forward with updating membership, (virtual) working group meetings to discuss ongoing work and to develop working group activity plans for 2016 – 2017. </w:t>
      </w:r>
      <w:r w:rsidR="00277014">
        <w:t>See latest on working groups attached.</w:t>
      </w:r>
      <w:r w:rsidR="00A349F2">
        <w:t xml:space="preserve"> For those of you who have not yet done so please feel free to sign up to your groups of interest.  Email to Kathleen </w:t>
      </w:r>
      <w:proofErr w:type="spellStart"/>
      <w:r w:rsidR="00A349F2">
        <w:t>Tiffay</w:t>
      </w:r>
      <w:proofErr w:type="spellEnd"/>
      <w:r w:rsidR="00A349F2">
        <w:t xml:space="preserve"> (</w:t>
      </w:r>
      <w:hyperlink r:id="rId11" w:history="1">
        <w:r w:rsidR="00A349F2" w:rsidRPr="000255A5">
          <w:rPr>
            <w:rStyle w:val="Hyperlink"/>
          </w:rPr>
          <w:t>tiffayk@who.int</w:t>
        </w:r>
      </w:hyperlink>
      <w:r w:rsidR="00A349F2">
        <w:t>).</w:t>
      </w:r>
    </w:p>
    <w:p w:rsidR="000C352A" w:rsidRDefault="000C352A" w:rsidP="000C352A">
      <w:pPr>
        <w:pStyle w:val="PlainText"/>
      </w:pPr>
    </w:p>
    <w:p w:rsidR="00B24117" w:rsidRPr="00277014" w:rsidRDefault="00277014" w:rsidP="00726E7F">
      <w:pPr>
        <w:pStyle w:val="Heading1"/>
      </w:pPr>
      <w:r w:rsidRPr="00277014">
        <w:t>3</w:t>
      </w:r>
      <w:r w:rsidR="004D54C7" w:rsidRPr="00277014">
        <w:t>.</w:t>
      </w:r>
      <w:r w:rsidR="00726E7F">
        <w:t xml:space="preserve"> </w:t>
      </w:r>
      <w:r w:rsidR="00B24117" w:rsidRPr="00277014">
        <w:t>Outreach and Events</w:t>
      </w:r>
    </w:p>
    <w:p w:rsidR="00B24117" w:rsidRDefault="004D54C7" w:rsidP="00726E7F">
      <w:pPr>
        <w:pStyle w:val="BulletedList"/>
        <w:spacing w:after="120"/>
        <w:ind w:left="641" w:hanging="357"/>
      </w:pPr>
      <w:r w:rsidRPr="00277014">
        <w:rPr>
          <w:b/>
          <w:bCs/>
        </w:rPr>
        <w:t>The Health Data Collaborative launch event</w:t>
      </w:r>
      <w:r>
        <w:t xml:space="preserve"> on March 9th during the UN Statistical Commission meeting in New York</w:t>
      </w:r>
      <w:r w:rsidR="00EC6287">
        <w:t xml:space="preserve"> </w:t>
      </w:r>
      <w:r w:rsidR="00B24117">
        <w:t xml:space="preserve">raised awareness about the </w:t>
      </w:r>
      <w:proofErr w:type="spellStart"/>
      <w:r w:rsidR="00B24117">
        <w:t>Collaborative</w:t>
      </w:r>
      <w:r w:rsidR="002B0130">
        <w:t>’s</w:t>
      </w:r>
      <w:proofErr w:type="spellEnd"/>
      <w:r w:rsidR="002B0130">
        <w:t xml:space="preserve"> aim to </w:t>
      </w:r>
      <w:r w:rsidR="00842D01" w:rsidRPr="00842D01">
        <w:t>strengthen country capacity for health data by getting an array of global partners to work toge</w:t>
      </w:r>
      <w:r w:rsidR="00842D01">
        <w:t xml:space="preserve">ther to support country needs. </w:t>
      </w:r>
      <w:r w:rsidR="00842D01" w:rsidRPr="00842D01">
        <w:t>So far, 32 partners have made commitments to</w:t>
      </w:r>
      <w:r w:rsidR="00842D01">
        <w:t xml:space="preserve"> align investments and support </w:t>
      </w:r>
      <w:r w:rsidR="00842D01" w:rsidRPr="00842D01">
        <w:t>this collective approach.</w:t>
      </w:r>
    </w:p>
    <w:p w:rsidR="00EC6287" w:rsidRDefault="00EC6287" w:rsidP="00726E7F">
      <w:pPr>
        <w:pStyle w:val="BulletedList"/>
        <w:spacing w:after="120"/>
        <w:ind w:left="641" w:hanging="357"/>
      </w:pPr>
      <w:r w:rsidRPr="00277014">
        <w:rPr>
          <w:b/>
          <w:bCs/>
        </w:rPr>
        <w:t>The Health Data Collaborative website</w:t>
      </w:r>
      <w:r>
        <w:t xml:space="preserve"> (</w:t>
      </w:r>
      <w:hyperlink r:id="rId12" w:history="1">
        <w:r w:rsidRPr="00AC20CB">
          <w:rPr>
            <w:rStyle w:val="Hyperlink"/>
          </w:rPr>
          <w:t>www.healthdatacollaborative.org</w:t>
        </w:r>
      </w:hyperlink>
      <w:r>
        <w:t>) was launched to coincide with the event</w:t>
      </w:r>
      <w:r w:rsidR="002B0130">
        <w:t xml:space="preserve">, resulting in </w:t>
      </w:r>
      <w:r>
        <w:t>a vibrant twitter response</w:t>
      </w:r>
      <w:r w:rsidR="002B0130">
        <w:t>.</w:t>
      </w:r>
      <w:r>
        <w:t xml:space="preserve"> The website content will continue to evolve, including building in more links with partner sites.</w:t>
      </w:r>
      <w:r w:rsidR="007E5D00">
        <w:t xml:space="preserve"> </w:t>
      </w:r>
      <w:r>
        <w:t>Please send input, ideas, and suggested links for the website to</w:t>
      </w:r>
      <w:r w:rsidR="00E37723">
        <w:t xml:space="preserve"> our new communications office Makiko Kitamura</w:t>
      </w:r>
      <w:r w:rsidR="007E5D00">
        <w:t xml:space="preserve"> (</w:t>
      </w:r>
      <w:hyperlink r:id="rId13" w:history="1">
        <w:r w:rsidRPr="00AC20CB">
          <w:rPr>
            <w:rStyle w:val="Hyperlink"/>
          </w:rPr>
          <w:t>kitamuram@who.int</w:t>
        </w:r>
      </w:hyperlink>
      <w:r w:rsidR="007E5D00">
        <w:rPr>
          <w:rStyle w:val="Hyperlink"/>
        </w:rPr>
        <w:t>)</w:t>
      </w:r>
      <w:r w:rsidR="00E37723">
        <w:rPr>
          <w:rStyle w:val="Hyperlink"/>
        </w:rPr>
        <w:t>.</w:t>
      </w:r>
    </w:p>
    <w:p w:rsidR="00277014" w:rsidRDefault="00277014" w:rsidP="007A677C">
      <w:pPr>
        <w:pStyle w:val="BulletedList"/>
        <w:spacing w:after="240"/>
        <w:ind w:left="641" w:hanging="357"/>
      </w:pPr>
      <w:r w:rsidRPr="00277014">
        <w:rPr>
          <w:b/>
          <w:bCs/>
        </w:rPr>
        <w:t>Internal communications portal:</w:t>
      </w:r>
      <w:r>
        <w:t xml:space="preserve">  To facilitate internal communications and to provide easy access to documents from all collaboration partners, a SharePoint site has also been established. Please contact Florence Rusciano (</w:t>
      </w:r>
      <w:hyperlink r:id="rId14" w:history="1">
        <w:r w:rsidRPr="00AC20CB">
          <w:rPr>
            <w:rStyle w:val="Hyperlink"/>
          </w:rPr>
          <w:t>ruscianof@who.int</w:t>
        </w:r>
      </w:hyperlink>
      <w:r>
        <w:t>) as soon as possible to obtain access to this portal site, which will be an important link among partners.</w:t>
      </w:r>
    </w:p>
    <w:p w:rsidR="00277014" w:rsidRDefault="005232FD" w:rsidP="00726E7F">
      <w:pPr>
        <w:pStyle w:val="Heading1"/>
      </w:pPr>
      <w:r>
        <w:t>4</w:t>
      </w:r>
      <w:r w:rsidR="004D54C7" w:rsidRPr="00277014">
        <w:t>.</w:t>
      </w:r>
      <w:r w:rsidR="00726E7F">
        <w:t xml:space="preserve"> </w:t>
      </w:r>
      <w:r w:rsidR="004D54C7" w:rsidRPr="00277014">
        <w:t>Upcoming events</w:t>
      </w:r>
    </w:p>
    <w:p w:rsidR="00277014" w:rsidRDefault="00277014" w:rsidP="00726E7F">
      <w:pPr>
        <w:pStyle w:val="BulletedList"/>
        <w:spacing w:after="120"/>
        <w:ind w:left="641" w:hanging="357"/>
      </w:pPr>
      <w:r w:rsidRPr="00277014">
        <w:rPr>
          <w:b/>
          <w:bCs/>
        </w:rPr>
        <w:t>Plans for the Regional meeting of the Collaborative for Southeast Asia 26-28 April in</w:t>
      </w:r>
      <w:r>
        <w:t xml:space="preserve"> Bangladesh combined with a workshop on measurement and accountability for health are well advanced under the leadership of USAID with input from the core team and regional leaders. </w:t>
      </w:r>
      <w:r w:rsidRPr="00155E9A">
        <w:t xml:space="preserve">Core team members will attend and facilitate sessions. Expected outputs include </w:t>
      </w:r>
      <w:r>
        <w:t>greater alignment among stakeholders on M&amp;E support and cross-country learning and support.</w:t>
      </w:r>
    </w:p>
    <w:p w:rsidR="004D54C7" w:rsidRDefault="00277014" w:rsidP="00726E7F">
      <w:pPr>
        <w:pStyle w:val="BulletedList"/>
        <w:spacing w:after="120"/>
        <w:ind w:left="641" w:hanging="357"/>
      </w:pPr>
      <w:r>
        <w:t>Please find below a summary of relevant upcoming events to keep an eye on</w:t>
      </w:r>
      <w:r w:rsidR="007E5D00">
        <w:t>,</w:t>
      </w:r>
      <w:r>
        <w:t xml:space="preserve"> and do not hesitate to share with us information on others that might be of interest to this group.</w:t>
      </w:r>
    </w:p>
    <w:tbl>
      <w:tblPr>
        <w:tblStyle w:val="TableGrid"/>
        <w:tblW w:w="0" w:type="auto"/>
        <w:tblInd w:w="817" w:type="dxa"/>
        <w:tblBorders>
          <w:top w:val="single" w:sz="8" w:space="0" w:color="4CA146"/>
          <w:left w:val="single" w:sz="8" w:space="0" w:color="4CA146"/>
          <w:bottom w:val="single" w:sz="8" w:space="0" w:color="4CA146"/>
          <w:right w:val="single" w:sz="8" w:space="0" w:color="4CA146"/>
          <w:insideH w:val="single" w:sz="8" w:space="0" w:color="4CA146"/>
          <w:insideV w:val="none" w:sz="0" w:space="0" w:color="auto"/>
        </w:tblBorders>
        <w:tblLook w:val="04A0" w:firstRow="1" w:lastRow="0" w:firstColumn="1" w:lastColumn="0" w:noHBand="0" w:noVBand="1"/>
      </w:tblPr>
      <w:tblGrid>
        <w:gridCol w:w="1701"/>
        <w:gridCol w:w="7229"/>
      </w:tblGrid>
      <w:tr w:rsidR="00D37CAF" w:rsidTr="00363797">
        <w:tc>
          <w:tcPr>
            <w:tcW w:w="1701" w:type="dxa"/>
          </w:tcPr>
          <w:p w:rsidR="00D37CAF" w:rsidRPr="00363797" w:rsidRDefault="00D37CAF" w:rsidP="00506D39">
            <w:pPr>
              <w:spacing w:before="100" w:beforeAutospacing="1" w:after="40"/>
              <w:rPr>
                <w:rFonts w:eastAsia="Times New Roman" w:cstheme="minorHAnsi"/>
                <w:sz w:val="20"/>
                <w:szCs w:val="20"/>
                <w:lang w:val="en"/>
              </w:rPr>
            </w:pPr>
            <w:r w:rsidRPr="00363797">
              <w:rPr>
                <w:rFonts w:eastAsia="Times New Roman" w:cstheme="minorHAnsi"/>
                <w:sz w:val="20"/>
                <w:szCs w:val="20"/>
                <w:lang w:val="en"/>
              </w:rPr>
              <w:t>5 April</w:t>
            </w:r>
          </w:p>
        </w:tc>
        <w:tc>
          <w:tcPr>
            <w:tcW w:w="7229" w:type="dxa"/>
          </w:tcPr>
          <w:p w:rsidR="00D37CAF" w:rsidRPr="00363797" w:rsidRDefault="00D37CAF" w:rsidP="00506D39">
            <w:pPr>
              <w:spacing w:before="100" w:beforeAutospacing="1" w:after="40"/>
              <w:rPr>
                <w:rFonts w:eastAsia="Times New Roman" w:cstheme="minorHAnsi"/>
                <w:sz w:val="20"/>
                <w:szCs w:val="20"/>
                <w:lang w:val="en"/>
              </w:rPr>
            </w:pPr>
            <w:r w:rsidRPr="00363797">
              <w:rPr>
                <w:rFonts w:eastAsia="Times New Roman" w:cstheme="minorHAnsi"/>
                <w:sz w:val="20"/>
                <w:szCs w:val="20"/>
                <w:lang w:val="en"/>
              </w:rPr>
              <w:t>Country engagement working group (</w:t>
            </w:r>
            <w:proofErr w:type="spellStart"/>
            <w:r w:rsidRPr="00363797">
              <w:rPr>
                <w:rFonts w:eastAsia="Times New Roman" w:cstheme="minorHAnsi"/>
                <w:sz w:val="20"/>
                <w:szCs w:val="20"/>
                <w:lang w:val="en"/>
              </w:rPr>
              <w:t>telecon</w:t>
            </w:r>
            <w:proofErr w:type="spellEnd"/>
            <w:r w:rsidRPr="00363797">
              <w:rPr>
                <w:rFonts w:eastAsia="Times New Roman" w:cstheme="minorHAnsi"/>
                <w:sz w:val="20"/>
                <w:szCs w:val="20"/>
                <w:lang w:val="en"/>
              </w:rPr>
              <w:t>/meeting), 14:00 (Geneva time)</w:t>
            </w:r>
          </w:p>
        </w:tc>
      </w:tr>
      <w:tr w:rsidR="00D37CAF" w:rsidTr="00363797">
        <w:tc>
          <w:tcPr>
            <w:tcW w:w="1701" w:type="dxa"/>
          </w:tcPr>
          <w:p w:rsidR="00D37CAF" w:rsidRPr="00363797" w:rsidRDefault="00D37CAF" w:rsidP="00506D39">
            <w:pPr>
              <w:spacing w:before="100" w:beforeAutospacing="1" w:after="40"/>
              <w:rPr>
                <w:rFonts w:eastAsia="Times New Roman" w:cstheme="minorHAnsi"/>
                <w:sz w:val="24"/>
                <w:szCs w:val="24"/>
              </w:rPr>
            </w:pPr>
            <w:r w:rsidRPr="00363797">
              <w:rPr>
                <w:rFonts w:eastAsia="Times New Roman" w:cstheme="minorHAnsi"/>
                <w:sz w:val="20"/>
                <w:szCs w:val="20"/>
                <w:lang w:val="en"/>
              </w:rPr>
              <w:t>7-8 April</w:t>
            </w:r>
          </w:p>
        </w:tc>
        <w:tc>
          <w:tcPr>
            <w:tcW w:w="7229" w:type="dxa"/>
          </w:tcPr>
          <w:p w:rsidR="00D37CAF" w:rsidRPr="00363797" w:rsidRDefault="00D37CAF" w:rsidP="00506D39">
            <w:pPr>
              <w:spacing w:before="100" w:beforeAutospacing="1" w:after="40"/>
              <w:rPr>
                <w:rFonts w:eastAsia="Times New Roman" w:cstheme="minorHAnsi"/>
                <w:sz w:val="24"/>
                <w:szCs w:val="24"/>
              </w:rPr>
            </w:pPr>
            <w:r w:rsidRPr="00363797">
              <w:rPr>
                <w:rFonts w:eastAsia="Times New Roman" w:cstheme="minorHAnsi"/>
                <w:sz w:val="20"/>
                <w:szCs w:val="20"/>
                <w:lang w:val="en"/>
              </w:rPr>
              <w:t>Primary Health Care Performance Initiative Stakeholder meeting, Geneva</w:t>
            </w:r>
            <w:r w:rsidRPr="00363797">
              <w:rPr>
                <w:rFonts w:eastAsia="Times New Roman" w:cstheme="minorHAnsi"/>
                <w:color w:val="1F497D"/>
                <w:sz w:val="20"/>
                <w:szCs w:val="20"/>
                <w:lang w:val="en"/>
              </w:rPr>
              <w:t xml:space="preserve"> </w:t>
            </w:r>
          </w:p>
        </w:tc>
      </w:tr>
      <w:tr w:rsidR="00D37CAF" w:rsidTr="00363797">
        <w:tc>
          <w:tcPr>
            <w:tcW w:w="1701" w:type="dxa"/>
          </w:tcPr>
          <w:p w:rsidR="00D37CAF" w:rsidRPr="00363797" w:rsidRDefault="00D37CAF" w:rsidP="00506D39">
            <w:pPr>
              <w:pStyle w:val="ListParagraph"/>
              <w:ind w:left="0"/>
              <w:rPr>
                <w:rFonts w:eastAsia="Times New Roman" w:cstheme="minorHAnsi"/>
                <w:sz w:val="20"/>
                <w:szCs w:val="20"/>
              </w:rPr>
            </w:pPr>
            <w:r w:rsidRPr="00363797">
              <w:rPr>
                <w:rFonts w:eastAsia="Times New Roman" w:cstheme="minorHAnsi"/>
                <w:sz w:val="20"/>
                <w:szCs w:val="20"/>
                <w:lang w:val="en"/>
              </w:rPr>
              <w:t xml:space="preserve">7 - 15 April </w:t>
            </w:r>
          </w:p>
        </w:tc>
        <w:tc>
          <w:tcPr>
            <w:tcW w:w="7229" w:type="dxa"/>
          </w:tcPr>
          <w:p w:rsidR="00D37CAF" w:rsidRPr="00363797" w:rsidRDefault="00D37CAF" w:rsidP="00506D39">
            <w:pPr>
              <w:pStyle w:val="ListParagraph"/>
              <w:ind w:left="0"/>
              <w:rPr>
                <w:rFonts w:cstheme="minorHAnsi"/>
              </w:rPr>
            </w:pPr>
            <w:r w:rsidRPr="00363797">
              <w:rPr>
                <w:rFonts w:eastAsia="Times New Roman" w:cstheme="minorHAnsi"/>
                <w:sz w:val="20"/>
                <w:szCs w:val="20"/>
                <w:lang w:val="en"/>
              </w:rPr>
              <w:t>Malawi mission: Technical assistance to the M&amp;E plan</w:t>
            </w:r>
          </w:p>
        </w:tc>
      </w:tr>
      <w:tr w:rsidR="00D37CAF" w:rsidTr="00363797">
        <w:tc>
          <w:tcPr>
            <w:tcW w:w="1701" w:type="dxa"/>
          </w:tcPr>
          <w:p w:rsidR="00D37CAF" w:rsidRPr="00363797" w:rsidRDefault="00D37CAF" w:rsidP="00506D39">
            <w:pPr>
              <w:pStyle w:val="ListParagraph"/>
              <w:ind w:left="0"/>
              <w:rPr>
                <w:rFonts w:eastAsia="Times New Roman" w:cstheme="minorHAnsi"/>
                <w:sz w:val="20"/>
                <w:szCs w:val="20"/>
              </w:rPr>
            </w:pPr>
            <w:r w:rsidRPr="00363797">
              <w:rPr>
                <w:rFonts w:eastAsia="Times New Roman" w:cstheme="minorHAnsi"/>
                <w:sz w:val="20"/>
                <w:szCs w:val="20"/>
              </w:rPr>
              <w:t>26-28 April</w:t>
            </w:r>
          </w:p>
        </w:tc>
        <w:tc>
          <w:tcPr>
            <w:tcW w:w="7229" w:type="dxa"/>
          </w:tcPr>
          <w:p w:rsidR="00D37CAF" w:rsidRPr="00363797" w:rsidRDefault="00D37CAF" w:rsidP="00506D39">
            <w:pPr>
              <w:pStyle w:val="ListParagraph"/>
              <w:ind w:left="0"/>
              <w:rPr>
                <w:rFonts w:cstheme="minorHAnsi"/>
              </w:rPr>
            </w:pPr>
            <w:r w:rsidRPr="00363797">
              <w:rPr>
                <w:rFonts w:eastAsia="Times New Roman" w:cstheme="minorHAnsi"/>
                <w:sz w:val="20"/>
                <w:szCs w:val="20"/>
              </w:rPr>
              <w:t>Regional meeting of the Collaborative for Southeast Asia in Bangladesh</w:t>
            </w:r>
          </w:p>
        </w:tc>
      </w:tr>
      <w:tr w:rsidR="00D37CAF" w:rsidTr="00363797">
        <w:tc>
          <w:tcPr>
            <w:tcW w:w="1701" w:type="dxa"/>
          </w:tcPr>
          <w:p w:rsidR="00D37CAF" w:rsidRPr="00363797" w:rsidRDefault="00D37CAF" w:rsidP="00506D39">
            <w:pPr>
              <w:pStyle w:val="ListParagraph"/>
              <w:ind w:left="0"/>
              <w:rPr>
                <w:rFonts w:eastAsia="Times New Roman" w:cstheme="minorHAnsi"/>
                <w:sz w:val="20"/>
                <w:szCs w:val="20"/>
              </w:rPr>
            </w:pPr>
            <w:r w:rsidRPr="00363797">
              <w:rPr>
                <w:rFonts w:eastAsia="Times New Roman" w:cstheme="minorHAnsi"/>
                <w:sz w:val="20"/>
                <w:szCs w:val="20"/>
              </w:rPr>
              <w:t>April (tbc)</w:t>
            </w:r>
          </w:p>
        </w:tc>
        <w:tc>
          <w:tcPr>
            <w:tcW w:w="7229" w:type="dxa"/>
          </w:tcPr>
          <w:p w:rsidR="00D37CAF" w:rsidRPr="00363797" w:rsidRDefault="00D37CAF" w:rsidP="00506D39">
            <w:pPr>
              <w:pStyle w:val="ListParagraph"/>
              <w:ind w:left="0"/>
              <w:rPr>
                <w:rFonts w:cstheme="minorHAnsi"/>
              </w:rPr>
            </w:pPr>
            <w:r w:rsidRPr="00363797">
              <w:rPr>
                <w:rFonts w:eastAsia="Times New Roman" w:cstheme="minorHAnsi"/>
                <w:sz w:val="20"/>
                <w:szCs w:val="20"/>
              </w:rPr>
              <w:t>Global Health Agency Leaders meeting</w:t>
            </w:r>
          </w:p>
        </w:tc>
      </w:tr>
      <w:tr w:rsidR="00D37CAF" w:rsidTr="00363797">
        <w:tc>
          <w:tcPr>
            <w:tcW w:w="1701" w:type="dxa"/>
          </w:tcPr>
          <w:p w:rsidR="00D37CAF" w:rsidRPr="00363797" w:rsidRDefault="00D37CAF" w:rsidP="00506D39">
            <w:pPr>
              <w:pStyle w:val="ListParagraph"/>
              <w:ind w:left="0"/>
              <w:rPr>
                <w:rFonts w:eastAsia="Times New Roman" w:cstheme="minorHAnsi"/>
                <w:sz w:val="20"/>
                <w:szCs w:val="20"/>
              </w:rPr>
            </w:pPr>
            <w:r w:rsidRPr="00363797">
              <w:rPr>
                <w:rFonts w:eastAsia="Times New Roman" w:cstheme="minorHAnsi"/>
                <w:sz w:val="20"/>
                <w:szCs w:val="20"/>
              </w:rPr>
              <w:t>3,4,5 May</w:t>
            </w:r>
          </w:p>
        </w:tc>
        <w:tc>
          <w:tcPr>
            <w:tcW w:w="7229" w:type="dxa"/>
          </w:tcPr>
          <w:p w:rsidR="00D37CAF" w:rsidRPr="00363797" w:rsidRDefault="00D37CAF" w:rsidP="00506D39">
            <w:pPr>
              <w:pStyle w:val="ListParagraph"/>
              <w:ind w:left="0"/>
              <w:rPr>
                <w:rFonts w:eastAsia="Times New Roman" w:cstheme="minorHAnsi"/>
                <w:sz w:val="20"/>
                <w:szCs w:val="20"/>
              </w:rPr>
            </w:pPr>
            <w:r w:rsidRPr="00363797">
              <w:rPr>
                <w:rFonts w:eastAsia="Times New Roman" w:cstheme="minorHAnsi"/>
                <w:sz w:val="20"/>
                <w:szCs w:val="20"/>
              </w:rPr>
              <w:t xml:space="preserve">Facility and Community Data Working group meeting, Geneva </w:t>
            </w:r>
          </w:p>
        </w:tc>
      </w:tr>
      <w:tr w:rsidR="00D37CAF" w:rsidTr="00363797">
        <w:tc>
          <w:tcPr>
            <w:tcW w:w="1701" w:type="dxa"/>
          </w:tcPr>
          <w:p w:rsidR="00D37CAF" w:rsidRPr="00363797" w:rsidRDefault="00D37CAF" w:rsidP="00506D39">
            <w:pPr>
              <w:pStyle w:val="ListParagraph"/>
              <w:ind w:left="0"/>
              <w:rPr>
                <w:rFonts w:eastAsia="Times New Roman" w:cstheme="minorHAnsi"/>
                <w:sz w:val="20"/>
                <w:szCs w:val="20"/>
              </w:rPr>
            </w:pPr>
            <w:r w:rsidRPr="00363797">
              <w:rPr>
                <w:rFonts w:eastAsia="Times New Roman" w:cstheme="minorHAnsi"/>
                <w:sz w:val="20"/>
                <w:szCs w:val="20"/>
              </w:rPr>
              <w:t>16-19 May (tbc)</w:t>
            </w:r>
          </w:p>
        </w:tc>
        <w:tc>
          <w:tcPr>
            <w:tcW w:w="7229" w:type="dxa"/>
          </w:tcPr>
          <w:p w:rsidR="00D37CAF" w:rsidRPr="00363797" w:rsidRDefault="00D37CAF" w:rsidP="00506D39">
            <w:pPr>
              <w:pStyle w:val="ListParagraph"/>
              <w:ind w:left="0"/>
              <w:rPr>
                <w:rFonts w:eastAsia="Times New Roman" w:cstheme="minorHAnsi"/>
                <w:sz w:val="20"/>
                <w:szCs w:val="20"/>
              </w:rPr>
            </w:pPr>
            <w:r w:rsidRPr="00363797">
              <w:rPr>
                <w:rFonts w:eastAsia="Times New Roman" w:cstheme="minorHAnsi"/>
                <w:sz w:val="20"/>
                <w:szCs w:val="20"/>
              </w:rPr>
              <w:t>Kenya mission: Technical assistance to review and Health Data Collaborative launch</w:t>
            </w:r>
          </w:p>
        </w:tc>
      </w:tr>
    </w:tbl>
    <w:p w:rsidR="007A677C" w:rsidRDefault="007A677C" w:rsidP="004D54C7">
      <w:pPr>
        <w:pStyle w:val="PlainText"/>
      </w:pPr>
    </w:p>
    <w:p w:rsidR="004D54C7" w:rsidRDefault="004D54C7" w:rsidP="004D54C7">
      <w:pPr>
        <w:pStyle w:val="PlainText"/>
      </w:pPr>
      <w:r>
        <w:t>Thanks and best regards,</w:t>
      </w:r>
    </w:p>
    <w:p w:rsidR="004D54C7" w:rsidRDefault="00277014" w:rsidP="004D54C7">
      <w:pPr>
        <w:pStyle w:val="PlainText"/>
      </w:pPr>
      <w:r>
        <w:t xml:space="preserve">Kathy &amp; Ties on behalf </w:t>
      </w:r>
      <w:r w:rsidR="007A677C">
        <w:t>of the c</w:t>
      </w:r>
      <w:r>
        <w:t>ore team</w:t>
      </w:r>
      <w:bookmarkStart w:id="0" w:name="_GoBack"/>
      <w:bookmarkEnd w:id="0"/>
    </w:p>
    <w:p w:rsidR="008C2C17" w:rsidRDefault="008C2C17" w:rsidP="00726E7F">
      <w:pPr>
        <w:pStyle w:val="PlainText"/>
        <w:rPr>
          <w:b/>
          <w:bCs/>
        </w:rPr>
      </w:pPr>
    </w:p>
    <w:p w:rsidR="00D7557F" w:rsidRDefault="004D54C7" w:rsidP="00726E7F">
      <w:pPr>
        <w:pStyle w:val="PlainText"/>
      </w:pPr>
      <w:r w:rsidRPr="00726E7F">
        <w:rPr>
          <w:b/>
          <w:bCs/>
        </w:rPr>
        <w:t>Attachments:</w:t>
      </w:r>
      <w:r w:rsidR="00726E7F" w:rsidRPr="00726E7F">
        <w:rPr>
          <w:b/>
          <w:bCs/>
        </w:rPr>
        <w:t xml:space="preserve"> </w:t>
      </w:r>
      <w:r w:rsidR="00D37CAF" w:rsidRPr="00155E9A">
        <w:t xml:space="preserve">Updated Operational </w:t>
      </w:r>
      <w:proofErr w:type="spellStart"/>
      <w:r w:rsidR="00D37CAF" w:rsidRPr="00155E9A">
        <w:t>Workplan</w:t>
      </w:r>
      <w:proofErr w:type="spellEnd"/>
      <w:r w:rsidR="00726E7F">
        <w:t xml:space="preserve"> | </w:t>
      </w:r>
      <w:r w:rsidR="00D37CAF">
        <w:t>Working Group Terms of Reference</w:t>
      </w:r>
      <w:r w:rsidR="00726E7F">
        <w:t xml:space="preserve"> | </w:t>
      </w:r>
      <w:r w:rsidR="00D37CAF">
        <w:t>Country Matrix</w:t>
      </w:r>
      <w:r w:rsidR="00726E7F">
        <w:t xml:space="preserve"> | </w:t>
      </w:r>
      <w:r w:rsidR="002B0130">
        <w:t>Liberia priority a</w:t>
      </w:r>
      <w:r w:rsidR="00D37CAF">
        <w:t>ctions</w:t>
      </w:r>
    </w:p>
    <w:sectPr w:rsidR="00D7557F" w:rsidSect="00726E7F">
      <w:headerReference w:type="default" r:id="rId15"/>
      <w:footerReference w:type="default" r:id="rId16"/>
      <w:footerReference w:type="first" r:id="rId17"/>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8C" w:rsidRDefault="00741D8C" w:rsidP="00363797">
      <w:pPr>
        <w:spacing w:after="0" w:line="240" w:lineRule="auto"/>
      </w:pPr>
      <w:r>
        <w:separator/>
      </w:r>
    </w:p>
  </w:endnote>
  <w:endnote w:type="continuationSeparator" w:id="0">
    <w:p w:rsidR="00741D8C" w:rsidRDefault="00741D8C" w:rsidP="0036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97" w:rsidRDefault="00363797" w:rsidP="00363797">
    <w:pPr>
      <w:pStyle w:val="Footer"/>
      <w:jc w:val="center"/>
    </w:pPr>
    <w:r w:rsidRPr="00363797">
      <w:rPr>
        <w:color w:val="4CA146"/>
      </w:rPr>
      <w:t>–</w:t>
    </w:r>
    <w:r>
      <w:t xml:space="preserve"> </w:t>
    </w:r>
    <w:sdt>
      <w:sdtPr>
        <w:id w:val="1596970346"/>
        <w:docPartObj>
          <w:docPartGallery w:val="Page Numbers (Bottom of Page)"/>
          <w:docPartUnique/>
        </w:docPartObj>
      </w:sdtPr>
      <w:sdtEndPr>
        <w:rPr>
          <w:noProof/>
          <w:color w:val="4CA146"/>
        </w:rPr>
      </w:sdtEndPr>
      <w:sdtContent>
        <w:r w:rsidRPr="00363797">
          <w:rPr>
            <w:color w:val="7F7F7F" w:themeColor="text1" w:themeTint="80"/>
          </w:rPr>
          <w:fldChar w:fldCharType="begin"/>
        </w:r>
        <w:r w:rsidRPr="00363797">
          <w:rPr>
            <w:color w:val="7F7F7F" w:themeColor="text1" w:themeTint="80"/>
          </w:rPr>
          <w:instrText xml:space="preserve"> PAGE   \* MERGEFORMAT </w:instrText>
        </w:r>
        <w:r w:rsidRPr="00363797">
          <w:rPr>
            <w:color w:val="7F7F7F" w:themeColor="text1" w:themeTint="80"/>
          </w:rPr>
          <w:fldChar w:fldCharType="separate"/>
        </w:r>
        <w:r w:rsidR="007A677C">
          <w:rPr>
            <w:noProof/>
            <w:color w:val="7F7F7F" w:themeColor="text1" w:themeTint="80"/>
          </w:rPr>
          <w:t>2</w:t>
        </w:r>
        <w:r w:rsidRPr="00363797">
          <w:rPr>
            <w:noProof/>
            <w:color w:val="7F7F7F" w:themeColor="text1" w:themeTint="80"/>
          </w:rPr>
          <w:fldChar w:fldCharType="end"/>
        </w:r>
        <w:r w:rsidRPr="00363797">
          <w:rPr>
            <w:noProof/>
            <w:color w:val="7F7F7F" w:themeColor="text1" w:themeTint="80"/>
          </w:rPr>
          <w:t xml:space="preserve"> </w:t>
        </w:r>
        <w:r w:rsidRPr="00363797">
          <w:rPr>
            <w:noProof/>
            <w:color w:val="4CA146"/>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97" w:rsidRDefault="00363797" w:rsidP="00363797">
    <w:pPr>
      <w:pStyle w:val="Footer"/>
      <w:jc w:val="center"/>
    </w:pPr>
    <w:r w:rsidRPr="00363797">
      <w:rPr>
        <w:color w:val="4CA146"/>
      </w:rPr>
      <w:t>–</w:t>
    </w:r>
    <w:r>
      <w:t xml:space="preserve"> </w:t>
    </w:r>
    <w:sdt>
      <w:sdtPr>
        <w:id w:val="-944771066"/>
        <w:docPartObj>
          <w:docPartGallery w:val="Page Numbers (Bottom of Page)"/>
          <w:docPartUnique/>
        </w:docPartObj>
      </w:sdtPr>
      <w:sdtEndPr>
        <w:rPr>
          <w:noProof/>
          <w:color w:val="4CA146"/>
        </w:rPr>
      </w:sdtEndPr>
      <w:sdtContent>
        <w:r w:rsidRPr="00363797">
          <w:rPr>
            <w:color w:val="7F7F7F" w:themeColor="text1" w:themeTint="80"/>
          </w:rPr>
          <w:fldChar w:fldCharType="begin"/>
        </w:r>
        <w:r w:rsidRPr="00363797">
          <w:rPr>
            <w:color w:val="7F7F7F" w:themeColor="text1" w:themeTint="80"/>
          </w:rPr>
          <w:instrText xml:space="preserve"> PAGE   \* MERGEFORMAT </w:instrText>
        </w:r>
        <w:r w:rsidRPr="00363797">
          <w:rPr>
            <w:color w:val="7F7F7F" w:themeColor="text1" w:themeTint="80"/>
          </w:rPr>
          <w:fldChar w:fldCharType="separate"/>
        </w:r>
        <w:r w:rsidR="007A677C">
          <w:rPr>
            <w:noProof/>
            <w:color w:val="7F7F7F" w:themeColor="text1" w:themeTint="80"/>
          </w:rPr>
          <w:t>1</w:t>
        </w:r>
        <w:r w:rsidRPr="00363797">
          <w:rPr>
            <w:noProof/>
            <w:color w:val="7F7F7F" w:themeColor="text1" w:themeTint="80"/>
          </w:rPr>
          <w:fldChar w:fldCharType="end"/>
        </w:r>
        <w:r w:rsidRPr="00363797">
          <w:rPr>
            <w:noProof/>
            <w:color w:val="7F7F7F" w:themeColor="text1" w:themeTint="80"/>
          </w:rPr>
          <w:t xml:space="preserve"> </w:t>
        </w:r>
        <w:r w:rsidRPr="00363797">
          <w:rPr>
            <w:noProof/>
            <w:color w:val="4CA146"/>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8C" w:rsidRDefault="00741D8C" w:rsidP="00363797">
      <w:pPr>
        <w:spacing w:after="0" w:line="240" w:lineRule="auto"/>
      </w:pPr>
      <w:r>
        <w:separator/>
      </w:r>
    </w:p>
  </w:footnote>
  <w:footnote w:type="continuationSeparator" w:id="0">
    <w:p w:rsidR="00741D8C" w:rsidRDefault="00741D8C" w:rsidP="0036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97" w:rsidRDefault="00363797" w:rsidP="00363797">
    <w:pPr>
      <w:pStyle w:val="Header"/>
      <w:jc w:val="center"/>
      <w:rPr>
        <w:color w:val="4CA146"/>
      </w:rPr>
    </w:pPr>
    <w:r w:rsidRPr="00363797">
      <w:rPr>
        <w:color w:val="7F7F7F" w:themeColor="text1" w:themeTint="80"/>
      </w:rPr>
      <w:t>Health Da</w:t>
    </w:r>
    <w:r>
      <w:rPr>
        <w:color w:val="7F7F7F" w:themeColor="text1" w:themeTint="80"/>
      </w:rPr>
      <w:t xml:space="preserve">ta Collaborative Monthly Update </w:t>
    </w:r>
    <w:r w:rsidRPr="00363797">
      <w:rPr>
        <w:color w:val="4CA146"/>
      </w:rPr>
      <w:t>– April 2016</w:t>
    </w:r>
  </w:p>
  <w:p w:rsidR="00363797" w:rsidRPr="00363797" w:rsidRDefault="00363797" w:rsidP="00363797">
    <w:pPr>
      <w:pStyle w:val="Header"/>
      <w:jc w:val="center"/>
      <w:rPr>
        <w:color w:val="4CA14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74F5"/>
    <w:multiLevelType w:val="hybridMultilevel"/>
    <w:tmpl w:val="55725340"/>
    <w:lvl w:ilvl="0" w:tplc="30BCE4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93154"/>
    <w:multiLevelType w:val="hybridMultilevel"/>
    <w:tmpl w:val="1B94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A7FC3"/>
    <w:multiLevelType w:val="hybridMultilevel"/>
    <w:tmpl w:val="862C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90272"/>
    <w:multiLevelType w:val="hybridMultilevel"/>
    <w:tmpl w:val="16725936"/>
    <w:lvl w:ilvl="0" w:tplc="CF58F5D6">
      <w:start w:val="1"/>
      <w:numFmt w:val="bullet"/>
      <w:pStyle w:val="BulletedList"/>
      <w:lvlText w:val=""/>
      <w:lvlJc w:val="left"/>
      <w:pPr>
        <w:ind w:left="644" w:hanging="360"/>
      </w:pPr>
      <w:rPr>
        <w:rFonts w:ascii="Wingdings" w:hAnsi="Wingdings" w:cs="Wingdings" w:hint="default"/>
        <w:b/>
        <w:i w:val="0"/>
        <w:color w:val="4CA146"/>
        <w:sz w:val="24"/>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C7"/>
    <w:rsid w:val="00003625"/>
    <w:rsid w:val="000938EE"/>
    <w:rsid w:val="000C352A"/>
    <w:rsid w:val="000C4959"/>
    <w:rsid w:val="000C7933"/>
    <w:rsid w:val="001047BC"/>
    <w:rsid w:val="00113B38"/>
    <w:rsid w:val="00155E9A"/>
    <w:rsid w:val="00191DE0"/>
    <w:rsid w:val="00216004"/>
    <w:rsid w:val="00277014"/>
    <w:rsid w:val="00282123"/>
    <w:rsid w:val="002B0130"/>
    <w:rsid w:val="002D3CF6"/>
    <w:rsid w:val="002F33B9"/>
    <w:rsid w:val="00322E19"/>
    <w:rsid w:val="00363797"/>
    <w:rsid w:val="004D54C7"/>
    <w:rsid w:val="005232FD"/>
    <w:rsid w:val="006653ED"/>
    <w:rsid w:val="00716E56"/>
    <w:rsid w:val="00726E7F"/>
    <w:rsid w:val="00741D8C"/>
    <w:rsid w:val="007A677C"/>
    <w:rsid w:val="007A6860"/>
    <w:rsid w:val="007E5D00"/>
    <w:rsid w:val="00842D01"/>
    <w:rsid w:val="008C2C17"/>
    <w:rsid w:val="0094268D"/>
    <w:rsid w:val="009C0321"/>
    <w:rsid w:val="00A349F2"/>
    <w:rsid w:val="00AE3BEF"/>
    <w:rsid w:val="00B24117"/>
    <w:rsid w:val="00D16223"/>
    <w:rsid w:val="00D37CAF"/>
    <w:rsid w:val="00D7630A"/>
    <w:rsid w:val="00E37723"/>
    <w:rsid w:val="00EC6287"/>
    <w:rsid w:val="00EE35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lainText"/>
    <w:next w:val="Normal"/>
    <w:link w:val="Heading1Char"/>
    <w:uiPriority w:val="9"/>
    <w:qFormat/>
    <w:rsid w:val="00726E7F"/>
    <w:pPr>
      <w:spacing w:after="120"/>
      <w:outlineLvl w:val="0"/>
    </w:pPr>
    <w:rPr>
      <w:rFonts w:ascii="Century Gothic" w:hAnsi="Century Gothic"/>
      <w:b/>
      <w:bCs/>
      <w:color w:val="4CA14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4C7"/>
    <w:rPr>
      <w:color w:val="0000FF" w:themeColor="hyperlink"/>
      <w:u w:val="single"/>
    </w:rPr>
  </w:style>
  <w:style w:type="paragraph" w:styleId="PlainText">
    <w:name w:val="Plain Text"/>
    <w:basedOn w:val="Normal"/>
    <w:link w:val="PlainTextChar"/>
    <w:uiPriority w:val="99"/>
    <w:unhideWhenUsed/>
    <w:rsid w:val="004D54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54C7"/>
    <w:rPr>
      <w:rFonts w:ascii="Calibri" w:hAnsi="Calibri"/>
      <w:szCs w:val="21"/>
    </w:rPr>
  </w:style>
  <w:style w:type="paragraph" w:styleId="ListParagraph">
    <w:name w:val="List Paragraph"/>
    <w:basedOn w:val="Normal"/>
    <w:uiPriority w:val="34"/>
    <w:qFormat/>
    <w:rsid w:val="00D37CAF"/>
    <w:pPr>
      <w:ind w:left="720"/>
      <w:contextualSpacing/>
    </w:pPr>
  </w:style>
  <w:style w:type="table" w:styleId="TableGrid">
    <w:name w:val="Table Grid"/>
    <w:basedOn w:val="TableNormal"/>
    <w:uiPriority w:val="59"/>
    <w:rsid w:val="00D3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97"/>
    <w:rPr>
      <w:rFonts w:ascii="Tahoma" w:hAnsi="Tahoma" w:cs="Tahoma"/>
      <w:sz w:val="16"/>
      <w:szCs w:val="16"/>
    </w:rPr>
  </w:style>
  <w:style w:type="character" w:customStyle="1" w:styleId="Heading1Char">
    <w:name w:val="Heading 1 Char"/>
    <w:basedOn w:val="DefaultParagraphFont"/>
    <w:link w:val="Heading1"/>
    <w:uiPriority w:val="9"/>
    <w:rsid w:val="00726E7F"/>
    <w:rPr>
      <w:rFonts w:ascii="Century Gothic" w:hAnsi="Century Gothic"/>
      <w:b/>
      <w:bCs/>
      <w:color w:val="4CA146"/>
      <w:sz w:val="36"/>
      <w:szCs w:val="36"/>
    </w:rPr>
  </w:style>
  <w:style w:type="paragraph" w:customStyle="1" w:styleId="BulletedList">
    <w:name w:val="BulletedList"/>
    <w:basedOn w:val="ListParagraph"/>
    <w:link w:val="BulletedListChar"/>
    <w:rsid w:val="00363797"/>
    <w:pPr>
      <w:numPr>
        <w:numId w:val="4"/>
      </w:numPr>
      <w:spacing w:after="180" w:line="240" w:lineRule="auto"/>
      <w:contextualSpacing w:val="0"/>
      <w:jc w:val="both"/>
    </w:pPr>
    <w:rPr>
      <w:rFonts w:ascii="Calibri" w:eastAsia="SimSun" w:hAnsi="Calibri" w:cs="Calibri"/>
      <w:lang w:val="en"/>
    </w:rPr>
  </w:style>
  <w:style w:type="character" w:customStyle="1" w:styleId="BulletedListChar">
    <w:name w:val="BulletedList Char"/>
    <w:link w:val="BulletedList"/>
    <w:rsid w:val="00363797"/>
    <w:rPr>
      <w:rFonts w:ascii="Calibri" w:eastAsia="SimSun" w:hAnsi="Calibri" w:cs="Calibri"/>
      <w:lang w:val="en"/>
    </w:rPr>
  </w:style>
  <w:style w:type="paragraph" w:styleId="Header">
    <w:name w:val="header"/>
    <w:basedOn w:val="Normal"/>
    <w:link w:val="HeaderChar"/>
    <w:uiPriority w:val="99"/>
    <w:unhideWhenUsed/>
    <w:rsid w:val="0036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97"/>
  </w:style>
  <w:style w:type="paragraph" w:styleId="Footer">
    <w:name w:val="footer"/>
    <w:basedOn w:val="Normal"/>
    <w:link w:val="FooterChar"/>
    <w:uiPriority w:val="99"/>
    <w:unhideWhenUsed/>
    <w:rsid w:val="0036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lainText"/>
    <w:next w:val="Normal"/>
    <w:link w:val="Heading1Char"/>
    <w:uiPriority w:val="9"/>
    <w:qFormat/>
    <w:rsid w:val="00726E7F"/>
    <w:pPr>
      <w:spacing w:after="120"/>
      <w:outlineLvl w:val="0"/>
    </w:pPr>
    <w:rPr>
      <w:rFonts w:ascii="Century Gothic" w:hAnsi="Century Gothic"/>
      <w:b/>
      <w:bCs/>
      <w:color w:val="4CA14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4C7"/>
    <w:rPr>
      <w:color w:val="0000FF" w:themeColor="hyperlink"/>
      <w:u w:val="single"/>
    </w:rPr>
  </w:style>
  <w:style w:type="paragraph" w:styleId="PlainText">
    <w:name w:val="Plain Text"/>
    <w:basedOn w:val="Normal"/>
    <w:link w:val="PlainTextChar"/>
    <w:uiPriority w:val="99"/>
    <w:unhideWhenUsed/>
    <w:rsid w:val="004D54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54C7"/>
    <w:rPr>
      <w:rFonts w:ascii="Calibri" w:hAnsi="Calibri"/>
      <w:szCs w:val="21"/>
    </w:rPr>
  </w:style>
  <w:style w:type="paragraph" w:styleId="ListParagraph">
    <w:name w:val="List Paragraph"/>
    <w:basedOn w:val="Normal"/>
    <w:uiPriority w:val="34"/>
    <w:qFormat/>
    <w:rsid w:val="00D37CAF"/>
    <w:pPr>
      <w:ind w:left="720"/>
      <w:contextualSpacing/>
    </w:pPr>
  </w:style>
  <w:style w:type="table" w:styleId="TableGrid">
    <w:name w:val="Table Grid"/>
    <w:basedOn w:val="TableNormal"/>
    <w:uiPriority w:val="59"/>
    <w:rsid w:val="00D3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97"/>
    <w:rPr>
      <w:rFonts w:ascii="Tahoma" w:hAnsi="Tahoma" w:cs="Tahoma"/>
      <w:sz w:val="16"/>
      <w:szCs w:val="16"/>
    </w:rPr>
  </w:style>
  <w:style w:type="character" w:customStyle="1" w:styleId="Heading1Char">
    <w:name w:val="Heading 1 Char"/>
    <w:basedOn w:val="DefaultParagraphFont"/>
    <w:link w:val="Heading1"/>
    <w:uiPriority w:val="9"/>
    <w:rsid w:val="00726E7F"/>
    <w:rPr>
      <w:rFonts w:ascii="Century Gothic" w:hAnsi="Century Gothic"/>
      <w:b/>
      <w:bCs/>
      <w:color w:val="4CA146"/>
      <w:sz w:val="36"/>
      <w:szCs w:val="36"/>
    </w:rPr>
  </w:style>
  <w:style w:type="paragraph" w:customStyle="1" w:styleId="BulletedList">
    <w:name w:val="BulletedList"/>
    <w:basedOn w:val="ListParagraph"/>
    <w:link w:val="BulletedListChar"/>
    <w:rsid w:val="00363797"/>
    <w:pPr>
      <w:numPr>
        <w:numId w:val="4"/>
      </w:numPr>
      <w:spacing w:after="180" w:line="240" w:lineRule="auto"/>
      <w:contextualSpacing w:val="0"/>
      <w:jc w:val="both"/>
    </w:pPr>
    <w:rPr>
      <w:rFonts w:ascii="Calibri" w:eastAsia="SimSun" w:hAnsi="Calibri" w:cs="Calibri"/>
      <w:lang w:val="en"/>
    </w:rPr>
  </w:style>
  <w:style w:type="character" w:customStyle="1" w:styleId="BulletedListChar">
    <w:name w:val="BulletedList Char"/>
    <w:link w:val="BulletedList"/>
    <w:rsid w:val="00363797"/>
    <w:rPr>
      <w:rFonts w:ascii="Calibri" w:eastAsia="SimSun" w:hAnsi="Calibri" w:cs="Calibri"/>
      <w:lang w:val="en"/>
    </w:rPr>
  </w:style>
  <w:style w:type="paragraph" w:styleId="Header">
    <w:name w:val="header"/>
    <w:basedOn w:val="Normal"/>
    <w:link w:val="HeaderChar"/>
    <w:uiPriority w:val="99"/>
    <w:unhideWhenUsed/>
    <w:rsid w:val="0036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97"/>
  </w:style>
  <w:style w:type="paragraph" w:styleId="Footer">
    <w:name w:val="footer"/>
    <w:basedOn w:val="Normal"/>
    <w:link w:val="FooterChar"/>
    <w:uiPriority w:val="99"/>
    <w:unhideWhenUsed/>
    <w:rsid w:val="0036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6434">
      <w:bodyDiv w:val="1"/>
      <w:marLeft w:val="0"/>
      <w:marRight w:val="0"/>
      <w:marTop w:val="0"/>
      <w:marBottom w:val="0"/>
      <w:divBdr>
        <w:top w:val="none" w:sz="0" w:space="0" w:color="auto"/>
        <w:left w:val="none" w:sz="0" w:space="0" w:color="auto"/>
        <w:bottom w:val="none" w:sz="0" w:space="0" w:color="auto"/>
        <w:right w:val="none" w:sz="0" w:space="0" w:color="auto"/>
      </w:divBdr>
    </w:div>
    <w:div w:id="18509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itamuram@who.i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datacollaborativ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ffayk@who.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iffayk@who.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uscianof@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TIFFAY, Kathleen</dc:creator>
  <cp:lastModifiedBy>TIFFAY, Kathleen</cp:lastModifiedBy>
  <cp:revision>2</cp:revision>
  <cp:lastPrinted>2016-04-01T11:26:00Z</cp:lastPrinted>
  <dcterms:created xsi:type="dcterms:W3CDTF">2016-04-04T15:57:00Z</dcterms:created>
  <dcterms:modified xsi:type="dcterms:W3CDTF">2016-04-04T15:57:00Z</dcterms:modified>
</cp:coreProperties>
</file>