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97" w:rsidRDefault="00363797" w:rsidP="003920F3">
      <w:pPr>
        <w:pStyle w:val="PlainText"/>
      </w:pPr>
      <w:r>
        <w:rPr>
          <w:noProof/>
        </w:rPr>
        <w:drawing>
          <wp:inline distT="0" distB="0" distL="0" distR="0">
            <wp:extent cx="5731510" cy="1903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C with taglin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797" w:rsidRDefault="00363797" w:rsidP="003920F3">
      <w:pPr>
        <w:pStyle w:val="PlainText"/>
      </w:pPr>
      <w:r>
        <w:rPr>
          <w:rFonts w:ascii="Century Gothic" w:eastAsia="SimSun" w:hAnsi="Century Gothic" w:cs="Calibri"/>
          <w:b/>
          <w:noProof/>
          <w:sz w:val="36"/>
          <w:szCs w:val="36"/>
        </w:rPr>
        <w:drawing>
          <wp:inline distT="0" distB="0" distL="0" distR="0" wp14:anchorId="75F16D27" wp14:editId="49F577F7">
            <wp:extent cx="8243570" cy="50165"/>
            <wp:effectExtent l="0" t="0" r="5080" b="6985"/>
            <wp:docPr id="25" name="Pictur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570" cy="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97" w:rsidRPr="00363797" w:rsidRDefault="00E56DAA" w:rsidP="003920F3">
      <w:pPr>
        <w:pStyle w:val="PlainText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Monthly update – April</w:t>
      </w:r>
      <w:r w:rsidR="00363797" w:rsidRPr="00363797">
        <w:rPr>
          <w:rFonts w:ascii="Century Gothic" w:hAnsi="Century Gothic"/>
          <w:b/>
          <w:bCs/>
          <w:sz w:val="40"/>
          <w:szCs w:val="40"/>
        </w:rPr>
        <w:t xml:space="preserve"> 2016</w:t>
      </w:r>
    </w:p>
    <w:p w:rsidR="00363797" w:rsidRDefault="00363797" w:rsidP="003920F3">
      <w:pPr>
        <w:pStyle w:val="PlainText"/>
      </w:pPr>
    </w:p>
    <w:p w:rsidR="004D54C7" w:rsidRDefault="004D54C7" w:rsidP="003920F3">
      <w:pPr>
        <w:pStyle w:val="PlainText"/>
      </w:pPr>
      <w:r>
        <w:t>Dear colleagues,</w:t>
      </w:r>
    </w:p>
    <w:p w:rsidR="004D54C7" w:rsidRDefault="004D54C7" w:rsidP="003920F3">
      <w:pPr>
        <w:pStyle w:val="PlainText"/>
      </w:pPr>
    </w:p>
    <w:p w:rsidR="00363797" w:rsidRDefault="00EF1C76" w:rsidP="003920F3">
      <w:pPr>
        <w:pStyle w:val="PlainText"/>
      </w:pPr>
      <w:r>
        <w:t>Welcome to the</w:t>
      </w:r>
      <w:r w:rsidR="00E56DAA">
        <w:t xml:space="preserve"> fourth</w:t>
      </w:r>
      <w:r w:rsidR="004D54C7">
        <w:t xml:space="preserve"> monthly update</w:t>
      </w:r>
      <w:r>
        <w:t xml:space="preserve"> highlighting recent and upcoming events related to the Health Data Collaborative:</w:t>
      </w:r>
    </w:p>
    <w:p w:rsidR="004D54C7" w:rsidRDefault="004D54C7" w:rsidP="003920F3">
      <w:pPr>
        <w:pStyle w:val="PlainText"/>
      </w:pPr>
    </w:p>
    <w:p w:rsidR="00D7630A" w:rsidRPr="00363797" w:rsidRDefault="00D7630A" w:rsidP="003920F3">
      <w:pPr>
        <w:pStyle w:val="Heading1"/>
      </w:pPr>
      <w:r w:rsidRPr="00363797">
        <w:t>1.</w:t>
      </w:r>
      <w:r w:rsidR="00363797">
        <w:t xml:space="preserve"> </w:t>
      </w:r>
      <w:r w:rsidRPr="00363797">
        <w:t>Country updates</w:t>
      </w:r>
      <w:r w:rsidR="00C10357">
        <w:t xml:space="preserve"> </w:t>
      </w:r>
    </w:p>
    <w:p w:rsidR="005448A7" w:rsidRDefault="0040483B" w:rsidP="00B253B4">
      <w:pPr>
        <w:pStyle w:val="BulletedList"/>
        <w:numPr>
          <w:ilvl w:val="0"/>
          <w:numId w:val="0"/>
        </w:numPr>
        <w:spacing w:after="120"/>
        <w:ind w:left="284"/>
      </w:pPr>
      <w:r>
        <w:t xml:space="preserve">Please see the </w:t>
      </w:r>
      <w:hyperlink r:id="rId10" w:history="1">
        <w:r w:rsidRPr="00C10357">
          <w:rPr>
            <w:rStyle w:val="Hyperlink"/>
          </w:rPr>
          <w:t>S</w:t>
        </w:r>
        <w:r w:rsidRPr="00C10357">
          <w:rPr>
            <w:rStyle w:val="Hyperlink"/>
          </w:rPr>
          <w:t>h</w:t>
        </w:r>
        <w:r w:rsidRPr="00C10357">
          <w:rPr>
            <w:rStyle w:val="Hyperlink"/>
          </w:rPr>
          <w:t>ar</w:t>
        </w:r>
        <w:r w:rsidRPr="00C10357">
          <w:rPr>
            <w:rStyle w:val="Hyperlink"/>
          </w:rPr>
          <w:t>e</w:t>
        </w:r>
        <w:r w:rsidRPr="00C10357">
          <w:rPr>
            <w:rStyle w:val="Hyperlink"/>
          </w:rPr>
          <w:t>Point</w:t>
        </w:r>
      </w:hyperlink>
      <w:r w:rsidR="00F215D8">
        <w:t xml:space="preserve"> </w:t>
      </w:r>
      <w:r w:rsidR="00457DBD">
        <w:t xml:space="preserve">to </w:t>
      </w:r>
      <w:r>
        <w:t>access the</w:t>
      </w:r>
      <w:r w:rsidR="00457DBD">
        <w:t xml:space="preserve"> country matrix for a full</w:t>
      </w:r>
      <w:r w:rsidR="00D7630A">
        <w:t xml:space="preserve"> overview of</w:t>
      </w:r>
      <w:r w:rsidR="00C10357">
        <w:t xml:space="preserve"> HDC activity</w:t>
      </w:r>
      <w:r w:rsidR="00457DBD">
        <w:t xml:space="preserve">. (If you haven’t done so already, please contact Florence Rusciano at </w:t>
      </w:r>
      <w:hyperlink r:id="rId11" w:history="1">
        <w:r w:rsidR="00457DBD" w:rsidRPr="00AC20CB">
          <w:rPr>
            <w:rStyle w:val="Hyperlink"/>
          </w:rPr>
          <w:t>ruscianof@who.int</w:t>
        </w:r>
      </w:hyperlink>
      <w:r w:rsidR="00457DBD">
        <w:t xml:space="preserve"> to obtain </w:t>
      </w:r>
      <w:r w:rsidR="00ED338B">
        <w:t xml:space="preserve">login </w:t>
      </w:r>
      <w:r w:rsidR="00457DBD">
        <w:t>access</w:t>
      </w:r>
      <w:r w:rsidR="00ED338B">
        <w:t xml:space="preserve"> to this internal documents portal</w:t>
      </w:r>
      <w:r w:rsidR="00457DBD">
        <w:t>.)</w:t>
      </w:r>
    </w:p>
    <w:p w:rsidR="00B253B4" w:rsidRPr="00B253B4" w:rsidRDefault="00B253B4" w:rsidP="00B253B4">
      <w:pPr>
        <w:pStyle w:val="BulletedList"/>
        <w:numPr>
          <w:ilvl w:val="0"/>
          <w:numId w:val="0"/>
        </w:numPr>
        <w:spacing w:after="120"/>
        <w:ind w:left="284"/>
      </w:pPr>
    </w:p>
    <w:p w:rsidR="003920F3" w:rsidRDefault="005448A7" w:rsidP="00E9544C">
      <w:pPr>
        <w:pStyle w:val="BulletedList"/>
        <w:numPr>
          <w:ilvl w:val="0"/>
          <w:numId w:val="12"/>
        </w:numPr>
        <w:spacing w:after="120"/>
        <w:ind w:left="643"/>
      </w:pPr>
      <w:r>
        <w:rPr>
          <w:noProof/>
          <w:lang w:val="en-GB"/>
        </w:rPr>
        <w:drawing>
          <wp:inline distT="0" distB="0" distL="0" distR="0" wp14:anchorId="52D96ABC" wp14:editId="79E096D2">
            <wp:extent cx="338097" cy="225587"/>
            <wp:effectExtent l="0" t="0" r="508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wiFlag (1)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21" cy="2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745DB2" w:rsidRPr="00745DB2">
        <w:rPr>
          <w:b/>
          <w:bCs/>
        </w:rPr>
        <w:t xml:space="preserve">Malawi: </w:t>
      </w:r>
      <w:r w:rsidR="00E9544C">
        <w:t>W</w:t>
      </w:r>
      <w:r w:rsidR="00E9544C">
        <w:t>orking under the leadership of</w:t>
      </w:r>
      <w:r w:rsidR="00216C70">
        <w:t xml:space="preserve"> the monitoring and evaluation (M&amp;E) task force and the Ministry of Health</w:t>
      </w:r>
      <w:r w:rsidR="00E9544C">
        <w:t xml:space="preserve"> Directorate</w:t>
      </w:r>
      <w:r w:rsidR="00E9544C">
        <w:t xml:space="preserve"> of Planning and as a follow-up to the HDC mission in Malawi in November, WHO provided</w:t>
      </w:r>
      <w:r w:rsidR="00745DB2" w:rsidRPr="00745DB2">
        <w:t xml:space="preserve"> </w:t>
      </w:r>
      <w:r w:rsidR="00745DB2">
        <w:t>technical</w:t>
      </w:r>
      <w:r w:rsidR="00E9544C">
        <w:t xml:space="preserve"> support in early April toward</w:t>
      </w:r>
      <w:r w:rsidR="00422AE9">
        <w:t xml:space="preserve"> the</w:t>
      </w:r>
      <w:r w:rsidR="00745DB2">
        <w:t xml:space="preserve"> development of the </w:t>
      </w:r>
      <w:r w:rsidR="00442509">
        <w:t xml:space="preserve">M&amp;E component of </w:t>
      </w:r>
      <w:r w:rsidR="00422AE9">
        <w:t>the</w:t>
      </w:r>
      <w:r w:rsidR="00442509">
        <w:t xml:space="preserve"> new health sector strategic plan</w:t>
      </w:r>
      <w:r w:rsidR="00745DB2">
        <w:t xml:space="preserve"> </w:t>
      </w:r>
      <w:r w:rsidR="00442509">
        <w:t>(</w:t>
      </w:r>
      <w:r w:rsidR="00745DB2">
        <w:t>HSSP II</w:t>
      </w:r>
      <w:r w:rsidR="00442509">
        <w:t>)</w:t>
      </w:r>
      <w:r w:rsidR="00E9544C">
        <w:t>. This included selection of</w:t>
      </w:r>
      <w:r w:rsidR="00745DB2">
        <w:t xml:space="preserve"> core health indicators; mapping current HIS/M&amp;E ac</w:t>
      </w:r>
      <w:r w:rsidR="00442509">
        <w:t>tivitie</w:t>
      </w:r>
      <w:r w:rsidR="00745DB2">
        <w:t>s; and dis</w:t>
      </w:r>
      <w:r w:rsidR="00E9544C">
        <w:t>cussion of M&amp;E priority actions.</w:t>
      </w:r>
      <w:r w:rsidR="00745DB2">
        <w:t xml:space="preserve"> </w:t>
      </w:r>
      <w:r w:rsidR="00216C70">
        <w:t>HDC p</w:t>
      </w:r>
      <w:r w:rsidR="00745DB2">
        <w:t>artner</w:t>
      </w:r>
      <w:r w:rsidR="00E9544C">
        <w:t>s’</w:t>
      </w:r>
      <w:r w:rsidR="00745DB2">
        <w:t xml:space="preserve"> country counterparts were instrumental in this work, </w:t>
      </w:r>
      <w:r w:rsidR="00422AE9">
        <w:t>including GI</w:t>
      </w:r>
      <w:r w:rsidR="00745DB2">
        <w:t>Z, BMGF, UNICEF, CDC and USAID, among others. F</w:t>
      </w:r>
      <w:r w:rsidR="00745DB2">
        <w:rPr>
          <w:rFonts w:eastAsia="Times New Roman"/>
        </w:rPr>
        <w:t>ollow-up in May will involve</w:t>
      </w:r>
      <w:r w:rsidR="00745DB2" w:rsidRPr="00745DB2">
        <w:rPr>
          <w:rFonts w:eastAsia="Times New Roman"/>
        </w:rPr>
        <w:t xml:space="preserve"> alignment of indicators and costing of activities. The common investment framework will be developed af</w:t>
      </w:r>
      <w:r w:rsidR="003920F3">
        <w:rPr>
          <w:rFonts w:eastAsia="Times New Roman"/>
        </w:rPr>
        <w:t>ter this for partner validation</w:t>
      </w:r>
      <w:r w:rsidR="003920F3" w:rsidRPr="003920F3">
        <w:t>.</w:t>
      </w:r>
    </w:p>
    <w:p w:rsidR="00CB3AAD" w:rsidRDefault="005448A7" w:rsidP="003920F3">
      <w:pPr>
        <w:pStyle w:val="BulletedList"/>
        <w:spacing w:after="120"/>
      </w:pPr>
      <w:r>
        <w:rPr>
          <w:b/>
          <w:bCs/>
          <w:noProof/>
          <w:lang w:val="en-GB"/>
        </w:rPr>
        <w:drawing>
          <wp:inline distT="0" distB="0" distL="0" distR="0">
            <wp:extent cx="368097" cy="24588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flag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74" cy="24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E56DAA" w:rsidRPr="006C6EF4">
        <w:rPr>
          <w:b/>
          <w:bCs/>
        </w:rPr>
        <w:t>DRC:</w:t>
      </w:r>
      <w:r w:rsidR="00422AE9">
        <w:rPr>
          <w:b/>
          <w:bCs/>
        </w:rPr>
        <w:t xml:space="preserve"> </w:t>
      </w:r>
      <w:r w:rsidR="00422AE9">
        <w:t>The MoH requested support to develop the M&amp;E framework of the recently approved National Health Strategic Plan (PNDS 2016-2020). In this context, a technical assistance mission is underway to support the development of the framework and</w:t>
      </w:r>
      <w:r w:rsidR="00E9544C">
        <w:t xml:space="preserve"> to explore further</w:t>
      </w:r>
      <w:r w:rsidR="00422AE9">
        <w:t xml:space="preserve"> engagement</w:t>
      </w:r>
      <w:r w:rsidR="00E9544C">
        <w:t xml:space="preserve"> by HDC partners</w:t>
      </w:r>
      <w:r w:rsidR="00422AE9">
        <w:t>.</w:t>
      </w:r>
    </w:p>
    <w:p w:rsidR="00C10357" w:rsidRDefault="00B253B4" w:rsidP="003920F3">
      <w:pPr>
        <w:pStyle w:val="BulletedList"/>
        <w:spacing w:after="120"/>
      </w:pPr>
      <w:r>
        <w:rPr>
          <w:b/>
          <w:bCs/>
          <w:noProof/>
          <w:lang w:val="en-GB"/>
        </w:rPr>
        <w:drawing>
          <wp:inline distT="0" distB="0" distL="0" distR="0">
            <wp:extent cx="368834" cy="24619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yaFlag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67" cy="24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 w:rsidR="00C10357" w:rsidRPr="00D7630A">
        <w:rPr>
          <w:b/>
          <w:bCs/>
        </w:rPr>
        <w:t>Kenya:</w:t>
      </w:r>
      <w:r w:rsidR="00C10357" w:rsidRPr="00D7630A">
        <w:t xml:space="preserve"> </w:t>
      </w:r>
      <w:r w:rsidR="00C10357">
        <w:t>H</w:t>
      </w:r>
      <w:r w:rsidR="00C10357" w:rsidRPr="00D7630A">
        <w:t xml:space="preserve">ealth </w:t>
      </w:r>
      <w:r w:rsidR="00C10357">
        <w:t>D</w:t>
      </w:r>
      <w:r w:rsidR="00C10357" w:rsidRPr="00D7630A">
        <w:t xml:space="preserve">ata </w:t>
      </w:r>
      <w:r w:rsidR="00C10357">
        <w:t>C</w:t>
      </w:r>
      <w:r w:rsidR="00C10357" w:rsidRPr="00D7630A">
        <w:t>ol</w:t>
      </w:r>
      <w:r w:rsidR="00C10357">
        <w:t xml:space="preserve">laborative work in Kenya </w:t>
      </w:r>
      <w:r w:rsidR="00442509">
        <w:t>will be launched</w:t>
      </w:r>
      <w:r w:rsidR="00C10357" w:rsidRPr="00D7630A">
        <w:t xml:space="preserve"> </w:t>
      </w:r>
      <w:r w:rsidR="00C10357" w:rsidRPr="00C91858">
        <w:t>May 16-20</w:t>
      </w:r>
      <w:r w:rsidR="00C10357">
        <w:t>. The mission will</w:t>
      </w:r>
      <w:r w:rsidR="00A95052">
        <w:t xml:space="preserve"> include representation from</w:t>
      </w:r>
      <w:r w:rsidR="00C10357" w:rsidRPr="00D7630A">
        <w:t xml:space="preserve"> sector </w:t>
      </w:r>
      <w:r w:rsidR="00C10357">
        <w:t xml:space="preserve">players, </w:t>
      </w:r>
      <w:r w:rsidR="00C10357" w:rsidRPr="00D7630A">
        <w:t>do</w:t>
      </w:r>
      <w:r w:rsidR="00C10357">
        <w:t>nors, partners,</w:t>
      </w:r>
      <w:r w:rsidR="00442509">
        <w:t xml:space="preserve"> civil </w:t>
      </w:r>
      <w:r w:rsidR="00C10357" w:rsidRPr="00D7630A">
        <w:t>society</w:t>
      </w:r>
      <w:r w:rsidR="00C10357">
        <w:t>,</w:t>
      </w:r>
      <w:r w:rsidR="00442509">
        <w:t xml:space="preserve"> the d</w:t>
      </w:r>
      <w:r w:rsidR="00C10357">
        <w:t xml:space="preserve">epartment of births and deaths registration </w:t>
      </w:r>
      <w:r w:rsidR="00442509">
        <w:t>as well as high-</w:t>
      </w:r>
      <w:r w:rsidR="00C10357">
        <w:t xml:space="preserve">level meetings with Ministry of Health leadership. Key priorities identified by the MoH as opportunities for collective action include: (1) Analytical support for the </w:t>
      </w:r>
      <w:r w:rsidR="00C10357" w:rsidRPr="00EC6287">
        <w:t>mid-term evaluatio</w:t>
      </w:r>
      <w:r w:rsidR="00C10357">
        <w:t xml:space="preserve">n of the sector strategic plan; (2) Alignment of investments in Kenya’s </w:t>
      </w:r>
      <w:r w:rsidR="00442509">
        <w:t>health management information system (</w:t>
      </w:r>
      <w:r w:rsidR="00C10357">
        <w:t>HMIS</w:t>
      </w:r>
      <w:r w:rsidR="00442509">
        <w:t>)</w:t>
      </w:r>
      <w:r w:rsidR="00C10357">
        <w:t>; (3) Rev</w:t>
      </w:r>
      <w:r w:rsidR="00442509">
        <w:t>iew of quality of</w:t>
      </w:r>
      <w:r w:rsidR="00C10357" w:rsidRPr="00EC6287">
        <w:t xml:space="preserve"> care</w:t>
      </w:r>
      <w:r w:rsidR="00C10357">
        <w:t xml:space="preserve"> monitoring; and (4) enhancement of the Kenya</w:t>
      </w:r>
      <w:r w:rsidR="00C10357" w:rsidRPr="00EC6287">
        <w:t xml:space="preserve"> Health Observatory</w:t>
      </w:r>
      <w:r w:rsidR="00C10357">
        <w:t xml:space="preserve">. </w:t>
      </w:r>
    </w:p>
    <w:p w:rsidR="00C10357" w:rsidRDefault="00C10357" w:rsidP="00BA6AE5">
      <w:pPr>
        <w:pStyle w:val="BulletedList"/>
        <w:spacing w:after="120"/>
      </w:pPr>
      <w:r w:rsidRPr="00745DB2">
        <w:rPr>
          <w:b/>
          <w:bCs/>
        </w:rPr>
        <w:t>Other countries</w:t>
      </w:r>
      <w:r w:rsidR="00DF5CCB">
        <w:t>:</w:t>
      </w:r>
      <w:r>
        <w:t xml:space="preserve"> </w:t>
      </w:r>
      <w:r w:rsidR="00442509">
        <w:t>World Bank is currently focu</w:t>
      </w:r>
      <w:r w:rsidRPr="00A278A3">
        <w:t xml:space="preserve">sing on a few countries (Liberia, Kenya, DRC, Malawi, Cambodia) where funds could be available to support collective work. </w:t>
      </w:r>
      <w:r>
        <w:t xml:space="preserve">Other countries (potentially Myanmar) will follow. </w:t>
      </w:r>
      <w:r w:rsidR="00E9544C">
        <w:t>WHO is providing</w:t>
      </w:r>
      <w:r w:rsidRPr="00A4461A">
        <w:t xml:space="preserve"> technical support in </w:t>
      </w:r>
      <w:r>
        <w:t xml:space="preserve">Sierra Leone </w:t>
      </w:r>
      <w:r w:rsidRPr="00A4461A">
        <w:t>May</w:t>
      </w:r>
      <w:r>
        <w:t xml:space="preserve"> 9-13 and is </w:t>
      </w:r>
      <w:r w:rsidR="00BA6AE5">
        <w:rPr>
          <w:rFonts w:eastAsia="Times New Roman"/>
        </w:rPr>
        <w:t>exploring</w:t>
      </w:r>
      <w:r w:rsidR="00E9544C">
        <w:rPr>
          <w:rFonts w:eastAsia="Times New Roman"/>
        </w:rPr>
        <w:t xml:space="preserve"> opportunities for engagement by HDC partners</w:t>
      </w:r>
      <w:r w:rsidRPr="00745DB2">
        <w:rPr>
          <w:rFonts w:eastAsia="Times New Roman"/>
        </w:rPr>
        <w:t>.</w:t>
      </w:r>
      <w:r w:rsidRPr="00A4461A">
        <w:t xml:space="preserve"> </w:t>
      </w:r>
    </w:p>
    <w:p w:rsidR="004628C7" w:rsidRPr="00C10357" w:rsidRDefault="004628C7" w:rsidP="00216C70">
      <w:pPr>
        <w:pStyle w:val="BulletedList"/>
        <w:spacing w:after="0"/>
        <w:rPr>
          <w:rFonts w:eastAsia="Times New Roman" w:cstheme="minorHAnsi"/>
          <w:sz w:val="20"/>
          <w:szCs w:val="20"/>
        </w:rPr>
      </w:pPr>
      <w:r>
        <w:rPr>
          <w:b/>
          <w:bCs/>
        </w:rPr>
        <w:lastRenderedPageBreak/>
        <w:t xml:space="preserve">Country engagement approach document: </w:t>
      </w:r>
      <w:r w:rsidR="00216C70">
        <w:t>A</w:t>
      </w:r>
      <w:r w:rsidR="00BA6AE5">
        <w:t xml:space="preserve"> draft</w:t>
      </w:r>
      <w:r>
        <w:t xml:space="preserve"> document outlining recommended steps and protocols</w:t>
      </w:r>
      <w:r w:rsidR="00216C70">
        <w:t xml:space="preserve"> for engaging with countries on HDC work</w:t>
      </w:r>
      <w:r>
        <w:t xml:space="preserve"> </w:t>
      </w:r>
      <w:r w:rsidR="00E352EA">
        <w:t>is currently being finalized by core</w:t>
      </w:r>
      <w:r w:rsidR="00216C70">
        <w:t xml:space="preserve"> </w:t>
      </w:r>
      <w:r w:rsidR="00E352EA">
        <w:t>team members.</w:t>
      </w:r>
    </w:p>
    <w:p w:rsidR="00C05B6F" w:rsidRDefault="00C05B6F" w:rsidP="00C05B6F">
      <w:pPr>
        <w:pStyle w:val="BulletedList"/>
        <w:numPr>
          <w:ilvl w:val="0"/>
          <w:numId w:val="0"/>
        </w:numPr>
        <w:spacing w:after="0"/>
        <w:rPr>
          <w:rFonts w:eastAsia="Times New Roman" w:cstheme="minorHAnsi"/>
          <w:sz w:val="20"/>
          <w:szCs w:val="20"/>
        </w:rPr>
      </w:pPr>
    </w:p>
    <w:p w:rsidR="00CB3AAD" w:rsidRDefault="00CB3AAD" w:rsidP="003920F3">
      <w:pPr>
        <w:pStyle w:val="PlainText"/>
      </w:pPr>
    </w:p>
    <w:p w:rsidR="00CB3AAD" w:rsidRDefault="00CB3AAD" w:rsidP="003920F3">
      <w:pPr>
        <w:pStyle w:val="Heading1"/>
        <w:spacing w:after="0"/>
      </w:pPr>
      <w:r>
        <w:t>2</w:t>
      </w:r>
      <w:r w:rsidRPr="00363797">
        <w:t>.</w:t>
      </w:r>
      <w:r>
        <w:t xml:space="preserve"> Working Groups</w:t>
      </w:r>
    </w:p>
    <w:p w:rsidR="002057FC" w:rsidRDefault="002057FC" w:rsidP="002057FC">
      <w:pPr>
        <w:spacing w:after="0" w:line="240" w:lineRule="auto"/>
      </w:pPr>
    </w:p>
    <w:p w:rsidR="002057FC" w:rsidRDefault="002057FC" w:rsidP="00803229">
      <w:pPr>
        <w:pStyle w:val="BulletedList"/>
        <w:numPr>
          <w:ilvl w:val="0"/>
          <w:numId w:val="11"/>
        </w:numPr>
        <w:ind w:left="643"/>
        <w:jc w:val="left"/>
      </w:pPr>
      <w:r w:rsidRPr="002057FC">
        <w:rPr>
          <w:b/>
          <w:bCs/>
        </w:rPr>
        <w:t>Facility and Community Data working group meeting</w:t>
      </w:r>
      <w:r>
        <w:t xml:space="preserve"> in Glion sur Montreux, Switzerland, May 3-5: 52 technical experts from 20 global health organizations, academi</w:t>
      </w:r>
      <w:r w:rsidR="00216C70">
        <w:t>a and civil society</w:t>
      </w:r>
      <w:r>
        <w:t xml:space="preserve"> gathered</w:t>
      </w:r>
      <w:r w:rsidR="00803229">
        <w:t xml:space="preserve"> for</w:t>
      </w:r>
      <w:r>
        <w:t xml:space="preserve"> the working group’s first meeting, during which</w:t>
      </w:r>
      <w:r w:rsidRPr="002057FC">
        <w:rPr>
          <w:color w:val="000000"/>
          <w:shd w:val="clear" w:color="auto" w:fill="FFFFFF"/>
        </w:rPr>
        <w:t xml:space="preserve"> four sub-groups (focused on </w:t>
      </w:r>
      <w:r w:rsidRPr="002057FC">
        <w:rPr>
          <w:rFonts w:cstheme="minorHAnsi"/>
        </w:rPr>
        <w:t xml:space="preserve">Routine </w:t>
      </w:r>
      <w:r>
        <w:t>h</w:t>
      </w:r>
      <w:r w:rsidR="00E352EA">
        <w:t>ealth information systems</w:t>
      </w:r>
      <w:r w:rsidRPr="00103478">
        <w:t xml:space="preserve"> and disease surveillance</w:t>
      </w:r>
      <w:r>
        <w:t>; c</w:t>
      </w:r>
      <w:r w:rsidRPr="00103478">
        <w:t>ommunity data</w:t>
      </w:r>
      <w:r>
        <w:t>; f</w:t>
      </w:r>
      <w:r w:rsidRPr="00103478">
        <w:t>acility surveys</w:t>
      </w:r>
      <w:r>
        <w:t>; and measurement of q</w:t>
      </w:r>
      <w:r w:rsidRPr="00103478">
        <w:t>uality of care</w:t>
      </w:r>
      <w:r>
        <w:t>)</w:t>
      </w:r>
      <w:r w:rsidRPr="002057FC">
        <w:rPr>
          <w:color w:val="000000"/>
          <w:shd w:val="clear" w:color="auto" w:fill="FFFFFF"/>
        </w:rPr>
        <w:t xml:space="preserve"> </w:t>
      </w:r>
      <w:r w:rsidR="00803229">
        <w:rPr>
          <w:color w:val="000000"/>
          <w:shd w:val="clear" w:color="auto" w:fill="FFFFFF"/>
        </w:rPr>
        <w:t>worked on concrete action</w:t>
      </w:r>
      <w:r w:rsidRPr="002057FC">
        <w:rPr>
          <w:color w:val="000000"/>
          <w:shd w:val="clear" w:color="auto" w:fill="FFFFFF"/>
        </w:rPr>
        <w:t xml:space="preserve"> plans </w:t>
      </w:r>
      <w:r w:rsidR="00803229">
        <w:rPr>
          <w:color w:val="000000"/>
          <w:shd w:val="clear" w:color="auto" w:fill="FFFFFF"/>
        </w:rPr>
        <w:t>for 2016-17</w:t>
      </w:r>
      <w:r w:rsidRPr="002057FC">
        <w:rPr>
          <w:color w:val="000000"/>
          <w:shd w:val="clear" w:color="auto" w:fill="FFFFFF"/>
        </w:rPr>
        <w:t xml:space="preserve">. </w:t>
      </w:r>
    </w:p>
    <w:p w:rsidR="004628C7" w:rsidRPr="001D0F3F" w:rsidRDefault="002057FC" w:rsidP="00BA6AE5">
      <w:pPr>
        <w:pStyle w:val="BulletedList"/>
        <w:numPr>
          <w:ilvl w:val="0"/>
          <w:numId w:val="11"/>
        </w:numPr>
        <w:ind w:left="643"/>
      </w:pPr>
      <w:r>
        <w:t>The most recent versions of</w:t>
      </w:r>
      <w:r w:rsidRPr="001D0F3F">
        <w:t xml:space="preserve"> </w:t>
      </w:r>
      <w:r w:rsidR="00E9544C">
        <w:t xml:space="preserve">all five </w:t>
      </w:r>
      <w:r w:rsidRPr="001D0F3F">
        <w:t>working groups</w:t>
      </w:r>
      <w:r>
        <w:t xml:space="preserve">’ </w:t>
      </w:r>
      <w:r w:rsidRPr="00A95052">
        <w:rPr>
          <w:rFonts w:asciiTheme="minorHAnsi" w:hAnsiTheme="minorHAnsi" w:cstheme="minorHAnsi"/>
        </w:rPr>
        <w:t>terms of reference</w:t>
      </w:r>
      <w:r>
        <w:t xml:space="preserve"> are available on the SharePoint</w:t>
      </w:r>
      <w:r w:rsidRPr="001D0F3F">
        <w:t>. For those of you who have not yet done so please feel free to sign</w:t>
      </w:r>
      <w:r>
        <w:t xml:space="preserve"> up to your groups of interest by contacting project manager</w:t>
      </w:r>
      <w:r w:rsidRPr="001D0F3F">
        <w:t xml:space="preserve"> Kathleen Tiffay (</w:t>
      </w:r>
      <w:hyperlink r:id="rId15" w:history="1">
        <w:r w:rsidRPr="001D0F3F">
          <w:rPr>
            <w:rStyle w:val="Hyperlink"/>
            <w:rFonts w:asciiTheme="minorHAnsi" w:hAnsiTheme="minorHAnsi" w:cstheme="minorHAnsi"/>
          </w:rPr>
          <w:t>tiffayk@who.int</w:t>
        </w:r>
      </w:hyperlink>
      <w:r w:rsidRPr="001D0F3F">
        <w:t>).</w:t>
      </w:r>
    </w:p>
    <w:p w:rsidR="000C352A" w:rsidRDefault="000C352A" w:rsidP="003920F3">
      <w:pPr>
        <w:pStyle w:val="PlainText"/>
      </w:pPr>
      <w:bookmarkStart w:id="0" w:name="_GoBack"/>
      <w:bookmarkEnd w:id="0"/>
    </w:p>
    <w:p w:rsidR="00B24117" w:rsidRDefault="00277014" w:rsidP="003920F3">
      <w:pPr>
        <w:pStyle w:val="Heading1"/>
        <w:spacing w:after="0"/>
      </w:pPr>
      <w:r w:rsidRPr="00277014">
        <w:t>3</w:t>
      </w:r>
      <w:r w:rsidR="004D54C7" w:rsidRPr="00277014">
        <w:t>.</w:t>
      </w:r>
      <w:r w:rsidR="00726E7F">
        <w:t xml:space="preserve"> </w:t>
      </w:r>
      <w:r w:rsidR="00B24117" w:rsidRPr="00277014">
        <w:t>Outreach and Events</w:t>
      </w:r>
    </w:p>
    <w:p w:rsidR="00577402" w:rsidRDefault="00577402" w:rsidP="003920F3">
      <w:pPr>
        <w:pStyle w:val="Default"/>
      </w:pPr>
    </w:p>
    <w:p w:rsidR="00EC06C2" w:rsidRDefault="00A46EC3" w:rsidP="00EC06C2">
      <w:pPr>
        <w:pStyle w:val="BulletedList"/>
        <w:spacing w:after="120"/>
        <w:contextualSpacing/>
        <w:rPr>
          <w:u w:val="single"/>
        </w:rPr>
      </w:pPr>
      <w:r w:rsidRPr="00A46EC3">
        <w:rPr>
          <w:b/>
          <w:bCs/>
        </w:rPr>
        <w:t>Primary Heal</w:t>
      </w:r>
      <w:r w:rsidR="00E9544C">
        <w:rPr>
          <w:b/>
          <w:bCs/>
        </w:rPr>
        <w:t>t</w:t>
      </w:r>
      <w:r w:rsidR="00972F45">
        <w:rPr>
          <w:b/>
          <w:bCs/>
        </w:rPr>
        <w:t>h Care Improvement</w:t>
      </w:r>
      <w:r>
        <w:rPr>
          <w:b/>
          <w:bCs/>
        </w:rPr>
        <w:t xml:space="preserve"> s</w:t>
      </w:r>
      <w:r w:rsidRPr="00A46EC3">
        <w:rPr>
          <w:b/>
          <w:bCs/>
        </w:rPr>
        <w:t>takeholder meeting</w:t>
      </w:r>
      <w:r w:rsidR="00B64735">
        <w:t xml:space="preserve">, </w:t>
      </w:r>
      <w:r>
        <w:t>April 7-8</w:t>
      </w:r>
      <w:r w:rsidR="00B64735">
        <w:t xml:space="preserve"> in Geneva</w:t>
      </w:r>
      <w:r>
        <w:t>: While the focus of the meeting was Primary Health Care and quality of care improvement, data plays an important role</w:t>
      </w:r>
      <w:r w:rsidR="00BA6AE5">
        <w:t>. It was agreed that</w:t>
      </w:r>
      <w:r w:rsidR="00A67AE5">
        <w:t xml:space="preserve"> Health Data Collaborative</w:t>
      </w:r>
      <w:r w:rsidR="00BA6AE5">
        <w:t xml:space="preserve"> partners are committed to </w:t>
      </w:r>
      <w:r w:rsidR="00A67AE5">
        <w:t>strengthening measures of quality of care and performance</w:t>
      </w:r>
      <w:r w:rsidR="00216C70">
        <w:t>, which will be addressed by one of the HDC working groups</w:t>
      </w:r>
      <w:r w:rsidR="00A67AE5">
        <w:t>.  </w:t>
      </w:r>
    </w:p>
    <w:p w:rsidR="00EC06C2" w:rsidRPr="00EC06C2" w:rsidRDefault="00EC06C2" w:rsidP="00EC06C2">
      <w:pPr>
        <w:pStyle w:val="BulletedList"/>
        <w:numPr>
          <w:ilvl w:val="0"/>
          <w:numId w:val="0"/>
        </w:numPr>
        <w:spacing w:after="120"/>
        <w:ind w:left="644"/>
        <w:contextualSpacing/>
        <w:rPr>
          <w:u w:val="single"/>
        </w:rPr>
      </w:pPr>
    </w:p>
    <w:p w:rsidR="004628C7" w:rsidRPr="00BA6AE5" w:rsidRDefault="001264ED" w:rsidP="00803229">
      <w:pPr>
        <w:pStyle w:val="BulletedList"/>
        <w:rPr>
          <w:rFonts w:asciiTheme="minorHAnsi" w:hAnsiTheme="minorHAnsi" w:cstheme="minorHAnsi"/>
        </w:rPr>
      </w:pPr>
      <w:r w:rsidRPr="001264ED">
        <w:rPr>
          <w:b/>
          <w:bCs/>
        </w:rPr>
        <w:t>Global Health Agency Leaders Meeting</w:t>
      </w:r>
      <w:r>
        <w:t>, Apri</w:t>
      </w:r>
      <w:r w:rsidRPr="00CB3AAD">
        <w:t xml:space="preserve">l 13 at the World Bank headquarters in Washington, DC:  The World Bank Group and WHO co-chaired the meeting </w:t>
      </w:r>
      <w:r w:rsidR="00BA6AE5">
        <w:t>where leaders</w:t>
      </w:r>
      <w:r>
        <w:t xml:space="preserve"> reported that </w:t>
      </w:r>
      <w:r w:rsidRPr="00BA6AE5">
        <w:rPr>
          <w:rFonts w:asciiTheme="minorHAnsi" w:hAnsiTheme="minorHAnsi" w:cstheme="minorHAnsi"/>
        </w:rPr>
        <w:t>the</w:t>
      </w:r>
      <w:r w:rsidR="00BA6AE5">
        <w:rPr>
          <w:rFonts w:asciiTheme="minorHAnsi" w:hAnsiTheme="minorHAnsi" w:cstheme="minorHAnsi"/>
        </w:rPr>
        <w:t xml:space="preserve"> </w:t>
      </w:r>
      <w:r w:rsidRPr="00BA6AE5">
        <w:rPr>
          <w:rFonts w:asciiTheme="minorHAnsi" w:eastAsiaTheme="minorEastAsia" w:hAnsiTheme="minorHAnsi" w:cstheme="minorHAnsi"/>
          <w:color w:val="000000"/>
          <w:lang w:val="en-GB"/>
        </w:rPr>
        <w:t>HDC has established</w:t>
      </w:r>
      <w:r w:rsidRPr="001264ED">
        <w:rPr>
          <w:rFonts w:ascii="Times New Roman" w:eastAsiaTheme="minorEastAsia" w:hAnsi="Times New Roman" w:cs="Times New Roman"/>
          <w:color w:val="000000"/>
          <w:lang w:val="en-GB"/>
        </w:rPr>
        <w:t xml:space="preserve"> </w:t>
      </w:r>
      <w:r w:rsidR="00BA6AE5">
        <w:rPr>
          <w:rFonts w:asciiTheme="minorHAnsi" w:eastAsiaTheme="minorEastAsia" w:hAnsiTheme="minorHAnsi" w:cstheme="minorHAnsi"/>
          <w:color w:val="000000"/>
          <w:lang w:val="en-GB"/>
        </w:rPr>
        <w:t>working groups and now has</w:t>
      </w:r>
      <w:r w:rsidRPr="00BA6AE5">
        <w:rPr>
          <w:rFonts w:asciiTheme="minorHAnsi" w:eastAsiaTheme="minorEastAsia" w:hAnsiTheme="minorHAnsi" w:cstheme="minorHAnsi"/>
          <w:color w:val="000000"/>
          <w:lang w:val="en-GB"/>
        </w:rPr>
        <w:t xml:space="preserve"> technical and financial alignment to support better data, data quality, an</w:t>
      </w:r>
      <w:r w:rsidR="00803229">
        <w:rPr>
          <w:rFonts w:asciiTheme="minorHAnsi" w:eastAsiaTheme="minorEastAsia" w:hAnsiTheme="minorHAnsi" w:cstheme="minorHAnsi"/>
          <w:color w:val="000000"/>
          <w:lang w:val="en-GB"/>
        </w:rPr>
        <w:t>d local and national analytical capacity.</w:t>
      </w:r>
    </w:p>
    <w:p w:rsidR="00641B40" w:rsidRPr="00553DC1" w:rsidRDefault="001E55EF" w:rsidP="001264ED">
      <w:pPr>
        <w:pStyle w:val="BulletedList"/>
        <w:spacing w:after="120"/>
        <w:rPr>
          <w:rFonts w:asciiTheme="minorHAnsi" w:hAnsiTheme="minorHAnsi" w:cstheme="minorHAnsi"/>
          <w:color w:val="000000" w:themeColor="text1"/>
        </w:rPr>
      </w:pPr>
      <w:r w:rsidRPr="00277014">
        <w:rPr>
          <w:b/>
          <w:bCs/>
        </w:rPr>
        <w:t>Regional meeting of the Collaborative for Southeast Asia</w:t>
      </w:r>
      <w:r w:rsidR="00745DB2">
        <w:rPr>
          <w:b/>
          <w:bCs/>
        </w:rPr>
        <w:t>,</w:t>
      </w:r>
      <w:r w:rsidRPr="00277014">
        <w:rPr>
          <w:b/>
          <w:bCs/>
        </w:rPr>
        <w:t xml:space="preserve"> </w:t>
      </w:r>
      <w:r w:rsidRPr="00CB3AAD">
        <w:t>April</w:t>
      </w:r>
      <w:r w:rsidR="00577402" w:rsidRPr="00CB3AAD">
        <w:t xml:space="preserve"> 26-28</w:t>
      </w:r>
      <w:r w:rsidRPr="00CB3AAD">
        <w:t xml:space="preserve"> in</w:t>
      </w:r>
      <w:r w:rsidR="00553DC1">
        <w:t xml:space="preserve"> </w:t>
      </w:r>
      <w:r w:rsidR="00553DC1">
        <w:rPr>
          <w:rFonts w:asciiTheme="minorHAnsi" w:hAnsiTheme="minorHAnsi" w:cstheme="minorHAnsi"/>
          <w:color w:val="000000" w:themeColor="text1"/>
          <w:shd w:val="clear" w:color="auto" w:fill="FFFFFF"/>
        </w:rPr>
        <w:t>Dhaka, Bangladesh</w:t>
      </w:r>
      <w:r w:rsidR="00A67AE5">
        <w:rPr>
          <w:color w:val="000000"/>
          <w:shd w:val="clear" w:color="auto" w:fill="FFFFFF"/>
        </w:rPr>
        <w:t>: the meeting provided an opportunity to hear about the experiences of countries in the region in monitoring their health strategies and</w:t>
      </w:r>
      <w:r w:rsidR="00216C70">
        <w:rPr>
          <w:color w:val="000000"/>
          <w:shd w:val="clear" w:color="auto" w:fill="FFFFFF"/>
        </w:rPr>
        <w:t xml:space="preserve"> to</w:t>
      </w:r>
      <w:r w:rsidR="00A67AE5">
        <w:rPr>
          <w:color w:val="000000"/>
          <w:shd w:val="clear" w:color="auto" w:fill="FFFFFF"/>
        </w:rPr>
        <w:t xml:space="preserve"> identify opportunities for working more effectively in data-driven public health.</w:t>
      </w:r>
      <w:r w:rsidR="001264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Please see the </w:t>
      </w:r>
      <w:hyperlink r:id="rId16" w:history="1">
        <w:r w:rsidR="001264ED" w:rsidRPr="001264ED">
          <w:rPr>
            <w:rStyle w:val="Hyperlink"/>
            <w:rFonts w:asciiTheme="minorHAnsi" w:hAnsiTheme="minorHAnsi" w:cstheme="minorHAnsi"/>
            <w:shd w:val="clear" w:color="auto" w:fill="FFFFFF"/>
          </w:rPr>
          <w:t>HDC website</w:t>
        </w:r>
      </w:hyperlink>
      <w:r w:rsidR="001264E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for blog posts from the meeting</w:t>
      </w:r>
      <w:r w:rsidR="00553DC1" w:rsidRPr="00553DC1">
        <w:rPr>
          <w:rStyle w:val="apple-converted-space"/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3920F3" w:rsidRPr="00553DC1">
        <w:rPr>
          <w:rFonts w:asciiTheme="minorHAnsi" w:hAnsiTheme="minorHAnsi" w:cstheme="minorHAnsi"/>
          <w:color w:val="000000" w:themeColor="text1"/>
        </w:rPr>
        <w:t xml:space="preserve"> </w:t>
      </w:r>
    </w:p>
    <w:p w:rsidR="0015335D" w:rsidRPr="00CB3AAD" w:rsidRDefault="003920F3" w:rsidP="003920F3">
      <w:pPr>
        <w:pStyle w:val="BulletedList"/>
      </w:pPr>
      <w:r>
        <w:rPr>
          <w:b/>
        </w:rPr>
        <w:t>U</w:t>
      </w:r>
      <w:r w:rsidR="00C10357">
        <w:rPr>
          <w:b/>
        </w:rPr>
        <w:t>N Foundation</w:t>
      </w:r>
      <w:r>
        <w:rPr>
          <w:b/>
        </w:rPr>
        <w:t xml:space="preserve"> to host</w:t>
      </w:r>
      <w:r w:rsidR="00E56DAA" w:rsidRPr="00CB3AAD">
        <w:rPr>
          <w:b/>
        </w:rPr>
        <w:t xml:space="preserve"> multi-stakeholder meeting</w:t>
      </w:r>
      <w:r w:rsidR="00CB3AAD" w:rsidRPr="00CB3AAD">
        <w:t xml:space="preserve"> May 12 in Washington, DC: NGOs, UN and other agencies </w:t>
      </w:r>
      <w:r w:rsidR="00216C70">
        <w:t>and advocacy groups have been</w:t>
      </w:r>
      <w:r w:rsidR="00CB3AAD" w:rsidRPr="00CB3AAD">
        <w:t xml:space="preserve"> invited to an informal stakeholder discussion hosted by UN Foundation to raise the profile of </w:t>
      </w:r>
      <w:r w:rsidR="00E352EA">
        <w:t>the Health Data Collaborative. Please c</w:t>
      </w:r>
      <w:r w:rsidR="00CB3AAD" w:rsidRPr="00CB3AAD">
        <w:t>ontact Caroline Barrett (</w:t>
      </w:r>
      <w:hyperlink r:id="rId17" w:history="1">
        <w:r w:rsidR="00A95052" w:rsidRPr="001D0AE7">
          <w:rPr>
            <w:rStyle w:val="Hyperlink"/>
          </w:rPr>
          <w:t>CBarrett@unfoundation.org</w:t>
        </w:r>
      </w:hyperlink>
      <w:r w:rsidR="00A95052">
        <w:t>)</w:t>
      </w:r>
      <w:r w:rsidR="00CB3AAD" w:rsidRPr="00CB3AAD">
        <w:t xml:space="preserve"> for more details.</w:t>
      </w:r>
    </w:p>
    <w:p w:rsidR="0015335D" w:rsidRDefault="0015335D" w:rsidP="003920F3">
      <w:pPr>
        <w:pStyle w:val="Heading1"/>
        <w:spacing w:after="0"/>
      </w:pPr>
      <w:r>
        <w:t>4</w:t>
      </w:r>
      <w:r w:rsidRPr="00277014">
        <w:t>.</w:t>
      </w:r>
      <w:r>
        <w:t xml:space="preserve"> Communication</w:t>
      </w:r>
      <w:r w:rsidR="00B253B4">
        <w:t>s</w:t>
      </w:r>
      <w:r>
        <w:t xml:space="preserve"> tools</w:t>
      </w:r>
    </w:p>
    <w:p w:rsidR="003920F3" w:rsidRPr="003920F3" w:rsidRDefault="003920F3" w:rsidP="003920F3">
      <w:pPr>
        <w:spacing w:after="0"/>
      </w:pPr>
    </w:p>
    <w:p w:rsidR="0015335D" w:rsidRPr="00641B40" w:rsidRDefault="00C905FC" w:rsidP="003920F3">
      <w:pPr>
        <w:pStyle w:val="BulletedList"/>
        <w:spacing w:after="120"/>
        <w:rPr>
          <w:b/>
          <w:bCs/>
          <w:color w:val="000000" w:themeColor="text1"/>
        </w:rPr>
      </w:pPr>
      <w:r w:rsidRPr="00C905FC">
        <w:rPr>
          <w:b/>
          <w:bCs/>
        </w:rPr>
        <w:t xml:space="preserve">Communique to HDC partners’ country counterparts: </w:t>
      </w:r>
      <w:r w:rsidR="00216C70">
        <w:t>a</w:t>
      </w:r>
      <w:r w:rsidRPr="00A95052">
        <w:rPr>
          <w:b/>
          <w:bCs/>
        </w:rPr>
        <w:t xml:space="preserve"> </w:t>
      </w:r>
      <w:r w:rsidRPr="00A95052">
        <w:t>draft</w:t>
      </w:r>
      <w:r w:rsidR="00216C70">
        <w:t xml:space="preserve"> document</w:t>
      </w:r>
      <w:r>
        <w:t xml:space="preserve"> has been circulated </w:t>
      </w:r>
      <w:r w:rsidR="00DF5CCB">
        <w:t xml:space="preserve">to core team members </w:t>
      </w:r>
      <w:r>
        <w:t xml:space="preserve">for final comments. The document, intended to be distributed widely, serves to </w:t>
      </w:r>
      <w:r w:rsidRPr="00641B40">
        <w:rPr>
          <w:color w:val="000000" w:themeColor="text1"/>
        </w:rPr>
        <w:t>communicate the broad objectives of the Collaborative and how it will operate at the country level.</w:t>
      </w:r>
    </w:p>
    <w:p w:rsidR="0015335D" w:rsidRPr="004628C7" w:rsidRDefault="0015335D" w:rsidP="001264ED">
      <w:pPr>
        <w:pStyle w:val="BulletedList"/>
        <w:spacing w:after="120"/>
        <w:ind w:left="641" w:hanging="357"/>
        <w:rPr>
          <w:rStyle w:val="Hyperlink"/>
          <w:color w:val="auto"/>
          <w:u w:val="none"/>
        </w:rPr>
      </w:pPr>
      <w:r w:rsidRPr="00277014">
        <w:rPr>
          <w:b/>
          <w:bCs/>
        </w:rPr>
        <w:t xml:space="preserve">The Health Data Collaborative </w:t>
      </w:r>
      <w:hyperlink r:id="rId18" w:history="1">
        <w:r w:rsidRPr="00C10357">
          <w:rPr>
            <w:rStyle w:val="Hyperlink"/>
            <w:b/>
            <w:bCs/>
          </w:rPr>
          <w:t>website</w:t>
        </w:r>
      </w:hyperlink>
      <w:r w:rsidR="00CB3AAD">
        <w:t xml:space="preserve">: a News section has been added with content from the </w:t>
      </w:r>
      <w:r w:rsidR="00442509">
        <w:t>launch event in March and from</w:t>
      </w:r>
      <w:r w:rsidR="00CB3AAD">
        <w:t xml:space="preserve"> the Bangladesh regional meeting. </w:t>
      </w:r>
      <w:r w:rsidR="00641B40">
        <w:t xml:space="preserve">Please </w:t>
      </w:r>
      <w:r w:rsidR="001264ED">
        <w:t>contact communications officer</w:t>
      </w:r>
      <w:r>
        <w:t xml:space="preserve"> </w:t>
      </w:r>
      <w:r w:rsidR="00CB3AAD">
        <w:t>Maki</w:t>
      </w:r>
      <w:r>
        <w:t xml:space="preserve"> Kitamura</w:t>
      </w:r>
      <w:r w:rsidR="001264ED">
        <w:t xml:space="preserve"> </w:t>
      </w:r>
      <w:r w:rsidR="001264ED">
        <w:t>(</w:t>
      </w:r>
      <w:hyperlink r:id="rId19" w:history="1">
        <w:r w:rsidR="001264ED" w:rsidRPr="001D0AE7">
          <w:rPr>
            <w:rStyle w:val="Hyperlink"/>
          </w:rPr>
          <w:t>kitamuram@who.int</w:t>
        </w:r>
      </w:hyperlink>
      <w:r w:rsidR="001264ED">
        <w:t>)</w:t>
      </w:r>
      <w:r w:rsidR="001264ED">
        <w:rPr>
          <w:rStyle w:val="Hyperlink"/>
          <w:u w:val="none"/>
        </w:rPr>
        <w:t xml:space="preserve"> </w:t>
      </w:r>
      <w:r w:rsidR="001264ED">
        <w:t>for any content submissions/suggestions.</w:t>
      </w:r>
      <w:r w:rsidR="001264ED" w:rsidRPr="001264ED">
        <w:rPr>
          <w:rStyle w:val="Hyperlink"/>
          <w:u w:val="none"/>
        </w:rPr>
        <w:t xml:space="preserve"> </w:t>
      </w:r>
    </w:p>
    <w:p w:rsidR="00442509" w:rsidRPr="004628C7" w:rsidRDefault="00442509" w:rsidP="003920F3">
      <w:pPr>
        <w:pStyle w:val="BulletedList"/>
        <w:numPr>
          <w:ilvl w:val="0"/>
          <w:numId w:val="0"/>
        </w:numPr>
        <w:spacing w:after="0"/>
        <w:ind w:left="644"/>
        <w:rPr>
          <w:b/>
          <w:bCs/>
        </w:rPr>
      </w:pPr>
    </w:p>
    <w:p w:rsidR="00C10357" w:rsidRPr="00C10357" w:rsidRDefault="0015335D" w:rsidP="003920F3">
      <w:pPr>
        <w:pStyle w:val="Heading1"/>
      </w:pPr>
      <w:r>
        <w:t>5</w:t>
      </w:r>
      <w:r w:rsidR="004D54C7" w:rsidRPr="00277014">
        <w:t>.</w:t>
      </w:r>
      <w:r w:rsidR="00726E7F">
        <w:t xml:space="preserve"> </w:t>
      </w:r>
      <w:r w:rsidR="004D54C7" w:rsidRPr="00277014">
        <w:t>Upcoming events</w:t>
      </w:r>
    </w:p>
    <w:tbl>
      <w:tblPr>
        <w:tblStyle w:val="TableGrid"/>
        <w:tblW w:w="8930" w:type="dxa"/>
        <w:tblInd w:w="817" w:type="dxa"/>
        <w:tblBorders>
          <w:top w:val="single" w:sz="8" w:space="0" w:color="4CA146"/>
          <w:left w:val="single" w:sz="8" w:space="0" w:color="4CA146"/>
          <w:bottom w:val="single" w:sz="8" w:space="0" w:color="4CA146"/>
          <w:right w:val="single" w:sz="8" w:space="0" w:color="4CA146"/>
          <w:insideH w:val="single" w:sz="8" w:space="0" w:color="4CA14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29"/>
      </w:tblGrid>
      <w:tr w:rsidR="00E352EA" w:rsidTr="00796BEE">
        <w:tc>
          <w:tcPr>
            <w:tcW w:w="1701" w:type="dxa"/>
          </w:tcPr>
          <w:p w:rsidR="00E352EA" w:rsidRPr="00363797" w:rsidRDefault="00E352EA" w:rsidP="003920F3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May 9-13</w:t>
            </w:r>
          </w:p>
        </w:tc>
        <w:tc>
          <w:tcPr>
            <w:tcW w:w="7229" w:type="dxa"/>
          </w:tcPr>
          <w:p w:rsidR="00E352EA" w:rsidRPr="00363797" w:rsidRDefault="00E352EA" w:rsidP="003920F3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M&amp;E/HIS scoping mission in Sierra Leone</w:t>
            </w:r>
          </w:p>
        </w:tc>
      </w:tr>
      <w:tr w:rsidR="00E352EA" w:rsidTr="00796BEE">
        <w:tc>
          <w:tcPr>
            <w:tcW w:w="1701" w:type="dxa"/>
          </w:tcPr>
          <w:p w:rsidR="00E352EA" w:rsidRPr="00363797" w:rsidRDefault="00E352EA" w:rsidP="003920F3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May 12  </w:t>
            </w:r>
          </w:p>
        </w:tc>
        <w:tc>
          <w:tcPr>
            <w:tcW w:w="7229" w:type="dxa"/>
          </w:tcPr>
          <w:p w:rsidR="00E352EA" w:rsidRPr="00363797" w:rsidRDefault="00E352EA" w:rsidP="003920F3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UN Foundation hosts HDC stakeholder briefing in Washington, D.C.</w:t>
            </w:r>
          </w:p>
        </w:tc>
      </w:tr>
      <w:tr w:rsidR="00E352EA" w:rsidTr="00796BEE">
        <w:tc>
          <w:tcPr>
            <w:tcW w:w="1701" w:type="dxa"/>
          </w:tcPr>
          <w:p w:rsidR="00E352EA" w:rsidRDefault="00E352EA" w:rsidP="003920F3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May 16-19 </w:t>
            </w:r>
          </w:p>
        </w:tc>
        <w:tc>
          <w:tcPr>
            <w:tcW w:w="7229" w:type="dxa"/>
          </w:tcPr>
          <w:p w:rsidR="00E352EA" w:rsidRDefault="00E352EA" w:rsidP="003920F3">
            <w:pPr>
              <w:pStyle w:val="ListParagraph"/>
              <w:ind w:left="0"/>
              <w:rPr>
                <w:rFonts w:eastAsia="Times New Roman" w:cstheme="minorHAnsi"/>
                <w:sz w:val="20"/>
                <w:szCs w:val="20"/>
              </w:rPr>
            </w:pPr>
            <w:r w:rsidRPr="00363797">
              <w:rPr>
                <w:rFonts w:eastAsia="Times New Roman" w:cstheme="minorHAnsi"/>
                <w:sz w:val="20"/>
                <w:szCs w:val="20"/>
              </w:rPr>
              <w:t>Kenya mission</w:t>
            </w:r>
            <w:r>
              <w:rPr>
                <w:rFonts w:eastAsia="Times New Roman" w:cstheme="minorHAnsi"/>
                <w:sz w:val="20"/>
                <w:szCs w:val="20"/>
              </w:rPr>
              <w:t>: Technical assistance</w:t>
            </w:r>
            <w:r w:rsidRPr="00363797">
              <w:rPr>
                <w:rFonts w:eastAsia="Times New Roman" w:cstheme="minorHAnsi"/>
                <w:sz w:val="20"/>
                <w:szCs w:val="20"/>
              </w:rPr>
              <w:t xml:space="preserve"> and Health Data Collaborative launch</w:t>
            </w:r>
          </w:p>
        </w:tc>
      </w:tr>
    </w:tbl>
    <w:p w:rsidR="007A677C" w:rsidRDefault="007A677C" w:rsidP="003920F3">
      <w:pPr>
        <w:pStyle w:val="PlainText"/>
      </w:pPr>
    </w:p>
    <w:p w:rsidR="004D54C7" w:rsidRDefault="004D54C7" w:rsidP="003920F3">
      <w:pPr>
        <w:pStyle w:val="PlainText"/>
      </w:pPr>
      <w:r>
        <w:t>Thanks and best regards,</w:t>
      </w:r>
    </w:p>
    <w:p w:rsidR="004D54C7" w:rsidRDefault="00C905FC" w:rsidP="003920F3">
      <w:pPr>
        <w:pStyle w:val="PlainText"/>
      </w:pPr>
      <w:r>
        <w:t xml:space="preserve">The HDC communications team </w:t>
      </w:r>
    </w:p>
    <w:p w:rsidR="008C2C17" w:rsidRDefault="008C2C17" w:rsidP="003920F3">
      <w:pPr>
        <w:pStyle w:val="PlainText"/>
        <w:rPr>
          <w:b/>
          <w:bCs/>
        </w:rPr>
      </w:pPr>
    </w:p>
    <w:p w:rsidR="00F215D8" w:rsidRDefault="00F215D8" w:rsidP="003920F3">
      <w:pPr>
        <w:pStyle w:val="PlainText"/>
        <w:rPr>
          <w:b/>
          <w:bCs/>
        </w:rPr>
      </w:pPr>
    </w:p>
    <w:p w:rsidR="00F215D8" w:rsidRDefault="00F215D8" w:rsidP="003920F3">
      <w:pPr>
        <w:pStyle w:val="PlainText"/>
        <w:rPr>
          <w:b/>
          <w:bCs/>
        </w:rPr>
      </w:pPr>
    </w:p>
    <w:p w:rsidR="00F215D8" w:rsidRDefault="00F215D8" w:rsidP="003920F3">
      <w:pPr>
        <w:pStyle w:val="PlainText"/>
        <w:rPr>
          <w:b/>
          <w:bCs/>
        </w:rPr>
      </w:pPr>
    </w:p>
    <w:p w:rsidR="00D7557F" w:rsidRDefault="008C35A4" w:rsidP="003920F3">
      <w:pPr>
        <w:pStyle w:val="PlainText"/>
      </w:pPr>
    </w:p>
    <w:sectPr w:rsidR="00D7557F" w:rsidSect="00726E7F">
      <w:headerReference w:type="default" r:id="rId20"/>
      <w:footerReference w:type="default" r:id="rId21"/>
      <w:footerReference w:type="first" r:id="rId22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D8C" w:rsidRDefault="00741D8C" w:rsidP="00363797">
      <w:pPr>
        <w:spacing w:after="0" w:line="240" w:lineRule="auto"/>
      </w:pPr>
      <w:r>
        <w:separator/>
      </w:r>
    </w:p>
  </w:endnote>
  <w:endnote w:type="continuationSeparator" w:id="0">
    <w:p w:rsidR="00741D8C" w:rsidRDefault="00741D8C" w:rsidP="0036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97" w:rsidRDefault="00363797" w:rsidP="00363797">
    <w:pPr>
      <w:pStyle w:val="Footer"/>
      <w:jc w:val="center"/>
    </w:pPr>
    <w:r w:rsidRPr="00363797">
      <w:rPr>
        <w:color w:val="4CA146"/>
      </w:rPr>
      <w:t>–</w:t>
    </w:r>
    <w:r>
      <w:t xml:space="preserve"> </w:t>
    </w:r>
    <w:sdt>
      <w:sdtPr>
        <w:id w:val="1596970346"/>
        <w:docPartObj>
          <w:docPartGallery w:val="Page Numbers (Bottom of Page)"/>
          <w:docPartUnique/>
        </w:docPartObj>
      </w:sdtPr>
      <w:sdtEndPr>
        <w:rPr>
          <w:noProof/>
          <w:color w:val="4CA146"/>
        </w:rPr>
      </w:sdtEndPr>
      <w:sdtContent>
        <w:r w:rsidRPr="00363797">
          <w:rPr>
            <w:color w:val="7F7F7F" w:themeColor="text1" w:themeTint="80"/>
          </w:rPr>
          <w:fldChar w:fldCharType="begin"/>
        </w:r>
        <w:r w:rsidRPr="00363797">
          <w:rPr>
            <w:color w:val="7F7F7F" w:themeColor="text1" w:themeTint="80"/>
          </w:rPr>
          <w:instrText xml:space="preserve"> PAGE   \* MERGEFORMAT </w:instrText>
        </w:r>
        <w:r w:rsidRPr="00363797">
          <w:rPr>
            <w:color w:val="7F7F7F" w:themeColor="text1" w:themeTint="80"/>
          </w:rPr>
          <w:fldChar w:fldCharType="separate"/>
        </w:r>
        <w:r w:rsidR="008C35A4">
          <w:rPr>
            <w:noProof/>
            <w:color w:val="7F7F7F" w:themeColor="text1" w:themeTint="80"/>
          </w:rPr>
          <w:t>2</w:t>
        </w:r>
        <w:r w:rsidRPr="00363797">
          <w:rPr>
            <w:noProof/>
            <w:color w:val="7F7F7F" w:themeColor="text1" w:themeTint="80"/>
          </w:rPr>
          <w:fldChar w:fldCharType="end"/>
        </w:r>
        <w:r w:rsidRPr="00363797">
          <w:rPr>
            <w:noProof/>
            <w:color w:val="7F7F7F" w:themeColor="text1" w:themeTint="80"/>
          </w:rPr>
          <w:t xml:space="preserve"> </w:t>
        </w:r>
        <w:r w:rsidRPr="00363797">
          <w:rPr>
            <w:noProof/>
            <w:color w:val="4CA146"/>
          </w:rPr>
          <w:t>–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97" w:rsidRDefault="00363797" w:rsidP="00363797">
    <w:pPr>
      <w:pStyle w:val="Footer"/>
      <w:jc w:val="center"/>
    </w:pPr>
    <w:r w:rsidRPr="00363797">
      <w:rPr>
        <w:color w:val="4CA146"/>
      </w:rPr>
      <w:t>–</w:t>
    </w:r>
    <w:r>
      <w:t xml:space="preserve"> </w:t>
    </w:r>
    <w:sdt>
      <w:sdtPr>
        <w:id w:val="-944771066"/>
        <w:docPartObj>
          <w:docPartGallery w:val="Page Numbers (Bottom of Page)"/>
          <w:docPartUnique/>
        </w:docPartObj>
      </w:sdtPr>
      <w:sdtEndPr>
        <w:rPr>
          <w:noProof/>
          <w:color w:val="4CA146"/>
        </w:rPr>
      </w:sdtEndPr>
      <w:sdtContent>
        <w:r w:rsidRPr="00363797">
          <w:rPr>
            <w:color w:val="7F7F7F" w:themeColor="text1" w:themeTint="80"/>
          </w:rPr>
          <w:fldChar w:fldCharType="begin"/>
        </w:r>
        <w:r w:rsidRPr="00363797">
          <w:rPr>
            <w:color w:val="7F7F7F" w:themeColor="text1" w:themeTint="80"/>
          </w:rPr>
          <w:instrText xml:space="preserve"> PAGE   \* MERGEFORMAT </w:instrText>
        </w:r>
        <w:r w:rsidRPr="00363797">
          <w:rPr>
            <w:color w:val="7F7F7F" w:themeColor="text1" w:themeTint="80"/>
          </w:rPr>
          <w:fldChar w:fldCharType="separate"/>
        </w:r>
        <w:r w:rsidR="008C35A4">
          <w:rPr>
            <w:noProof/>
            <w:color w:val="7F7F7F" w:themeColor="text1" w:themeTint="80"/>
          </w:rPr>
          <w:t>1</w:t>
        </w:r>
        <w:r w:rsidRPr="00363797">
          <w:rPr>
            <w:noProof/>
            <w:color w:val="7F7F7F" w:themeColor="text1" w:themeTint="80"/>
          </w:rPr>
          <w:fldChar w:fldCharType="end"/>
        </w:r>
        <w:r w:rsidRPr="00363797">
          <w:rPr>
            <w:noProof/>
            <w:color w:val="7F7F7F" w:themeColor="text1" w:themeTint="80"/>
          </w:rPr>
          <w:t xml:space="preserve"> </w:t>
        </w:r>
        <w:r w:rsidRPr="00363797">
          <w:rPr>
            <w:noProof/>
            <w:color w:val="4CA146"/>
          </w:rPr>
          <w:t>–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D8C" w:rsidRDefault="00741D8C" w:rsidP="00363797">
      <w:pPr>
        <w:spacing w:after="0" w:line="240" w:lineRule="auto"/>
      </w:pPr>
      <w:r>
        <w:separator/>
      </w:r>
    </w:p>
  </w:footnote>
  <w:footnote w:type="continuationSeparator" w:id="0">
    <w:p w:rsidR="00741D8C" w:rsidRDefault="00741D8C" w:rsidP="0036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97" w:rsidRDefault="00363797" w:rsidP="00363797">
    <w:pPr>
      <w:pStyle w:val="Header"/>
      <w:jc w:val="center"/>
      <w:rPr>
        <w:color w:val="4CA146"/>
      </w:rPr>
    </w:pPr>
    <w:r w:rsidRPr="00363797">
      <w:rPr>
        <w:color w:val="7F7F7F" w:themeColor="text1" w:themeTint="80"/>
      </w:rPr>
      <w:t>Health Da</w:t>
    </w:r>
    <w:r>
      <w:rPr>
        <w:color w:val="7F7F7F" w:themeColor="text1" w:themeTint="80"/>
      </w:rPr>
      <w:t xml:space="preserve">ta Collaborative Monthly Update </w:t>
    </w:r>
    <w:r w:rsidRPr="00363797">
      <w:rPr>
        <w:color w:val="4CA146"/>
      </w:rPr>
      <w:t>– April 2016</w:t>
    </w:r>
  </w:p>
  <w:p w:rsidR="00363797" w:rsidRPr="00363797" w:rsidRDefault="00363797" w:rsidP="00363797">
    <w:pPr>
      <w:pStyle w:val="Header"/>
      <w:jc w:val="center"/>
      <w:rPr>
        <w:color w:val="4CA14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4F5"/>
    <w:multiLevelType w:val="hybridMultilevel"/>
    <w:tmpl w:val="55725340"/>
    <w:lvl w:ilvl="0" w:tplc="30BCE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21A8D"/>
    <w:multiLevelType w:val="hybridMultilevel"/>
    <w:tmpl w:val="AF68A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02A2"/>
    <w:multiLevelType w:val="hybridMultilevel"/>
    <w:tmpl w:val="10A6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93154"/>
    <w:multiLevelType w:val="hybridMultilevel"/>
    <w:tmpl w:val="1B948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A7FC3"/>
    <w:multiLevelType w:val="hybridMultilevel"/>
    <w:tmpl w:val="862C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F57A4"/>
    <w:multiLevelType w:val="hybridMultilevel"/>
    <w:tmpl w:val="CB146D96"/>
    <w:lvl w:ilvl="0" w:tplc="DDA48A3A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  <w:b/>
        <w:i w:val="0"/>
        <w:color w:val="4CA146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FE745C"/>
    <w:multiLevelType w:val="hybridMultilevel"/>
    <w:tmpl w:val="8DDE1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A90272"/>
    <w:multiLevelType w:val="hybridMultilevel"/>
    <w:tmpl w:val="417EF966"/>
    <w:lvl w:ilvl="0" w:tplc="CF58F5D6">
      <w:start w:val="1"/>
      <w:numFmt w:val="bullet"/>
      <w:pStyle w:val="BulletedList"/>
      <w:lvlText w:val=""/>
      <w:lvlJc w:val="left"/>
      <w:pPr>
        <w:ind w:left="644" w:hanging="360"/>
      </w:pPr>
      <w:rPr>
        <w:rFonts w:ascii="Wingdings" w:hAnsi="Wingdings" w:cs="Wingdings" w:hint="default"/>
        <w:b/>
        <w:i w:val="0"/>
        <w:color w:val="4CA146"/>
        <w:sz w:val="24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1C56DA3"/>
    <w:multiLevelType w:val="hybridMultilevel"/>
    <w:tmpl w:val="07F2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445E9"/>
    <w:multiLevelType w:val="hybridMultilevel"/>
    <w:tmpl w:val="90EE7760"/>
    <w:lvl w:ilvl="0" w:tplc="DDA48A3A">
      <w:start w:val="1"/>
      <w:numFmt w:val="bullet"/>
      <w:lvlText w:val=""/>
      <w:lvlJc w:val="left"/>
      <w:pPr>
        <w:ind w:left="1004" w:hanging="360"/>
      </w:pPr>
      <w:rPr>
        <w:rFonts w:ascii="Wingdings" w:hAnsi="Wingdings" w:cs="Wingdings" w:hint="default"/>
        <w:b/>
        <w:i w:val="0"/>
        <w:color w:val="4CA146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9C67A53"/>
    <w:multiLevelType w:val="hybridMultilevel"/>
    <w:tmpl w:val="295289EE"/>
    <w:lvl w:ilvl="0" w:tplc="DDA48A3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i w:val="0"/>
        <w:color w:val="4CA146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C7"/>
    <w:rsid w:val="00003625"/>
    <w:rsid w:val="000827C6"/>
    <w:rsid w:val="000938EE"/>
    <w:rsid w:val="000C352A"/>
    <w:rsid w:val="000C4959"/>
    <w:rsid w:val="000C7933"/>
    <w:rsid w:val="001047BC"/>
    <w:rsid w:val="00113B38"/>
    <w:rsid w:val="001264ED"/>
    <w:rsid w:val="0015335D"/>
    <w:rsid w:val="00155E9A"/>
    <w:rsid w:val="00191DE0"/>
    <w:rsid w:val="001D0F3F"/>
    <w:rsid w:val="001E55EF"/>
    <w:rsid w:val="002057FC"/>
    <w:rsid w:val="00216004"/>
    <w:rsid w:val="00216C70"/>
    <w:rsid w:val="00277014"/>
    <w:rsid w:val="00282123"/>
    <w:rsid w:val="002B0130"/>
    <w:rsid w:val="002D3CF6"/>
    <w:rsid w:val="002F33B9"/>
    <w:rsid w:val="00322E19"/>
    <w:rsid w:val="00363797"/>
    <w:rsid w:val="003738A3"/>
    <w:rsid w:val="003920F3"/>
    <w:rsid w:val="003E0A9D"/>
    <w:rsid w:val="0040483B"/>
    <w:rsid w:val="00406DBE"/>
    <w:rsid w:val="00422AE9"/>
    <w:rsid w:val="00442509"/>
    <w:rsid w:val="00457DBD"/>
    <w:rsid w:val="004628C7"/>
    <w:rsid w:val="004663F2"/>
    <w:rsid w:val="00495733"/>
    <w:rsid w:val="004D54C7"/>
    <w:rsid w:val="004F64EC"/>
    <w:rsid w:val="005232FD"/>
    <w:rsid w:val="005448A7"/>
    <w:rsid w:val="00553DC1"/>
    <w:rsid w:val="00577402"/>
    <w:rsid w:val="00641B40"/>
    <w:rsid w:val="006653ED"/>
    <w:rsid w:val="006C6EF4"/>
    <w:rsid w:val="00716E56"/>
    <w:rsid w:val="00726E7F"/>
    <w:rsid w:val="00741D8C"/>
    <w:rsid w:val="00745DB2"/>
    <w:rsid w:val="007A677C"/>
    <w:rsid w:val="007A6860"/>
    <w:rsid w:val="007E5D00"/>
    <w:rsid w:val="00803229"/>
    <w:rsid w:val="00842D01"/>
    <w:rsid w:val="00864C52"/>
    <w:rsid w:val="008C2C17"/>
    <w:rsid w:val="008C35A4"/>
    <w:rsid w:val="0094268D"/>
    <w:rsid w:val="00962A22"/>
    <w:rsid w:val="00972F45"/>
    <w:rsid w:val="009C0321"/>
    <w:rsid w:val="00A349F2"/>
    <w:rsid w:val="00A46EC3"/>
    <w:rsid w:val="00A67AE5"/>
    <w:rsid w:val="00A877AE"/>
    <w:rsid w:val="00A95052"/>
    <w:rsid w:val="00AE3BEF"/>
    <w:rsid w:val="00B24117"/>
    <w:rsid w:val="00B253B4"/>
    <w:rsid w:val="00B64735"/>
    <w:rsid w:val="00BA6AE5"/>
    <w:rsid w:val="00C05B6F"/>
    <w:rsid w:val="00C10357"/>
    <w:rsid w:val="00C905FC"/>
    <w:rsid w:val="00C91858"/>
    <w:rsid w:val="00CB3AAD"/>
    <w:rsid w:val="00D16223"/>
    <w:rsid w:val="00D37CAF"/>
    <w:rsid w:val="00D7630A"/>
    <w:rsid w:val="00DF5CCB"/>
    <w:rsid w:val="00E2536E"/>
    <w:rsid w:val="00E352EA"/>
    <w:rsid w:val="00E37723"/>
    <w:rsid w:val="00E56DAA"/>
    <w:rsid w:val="00E9544C"/>
    <w:rsid w:val="00EC06C2"/>
    <w:rsid w:val="00EC6287"/>
    <w:rsid w:val="00ED338B"/>
    <w:rsid w:val="00EE351E"/>
    <w:rsid w:val="00EF1C76"/>
    <w:rsid w:val="00F2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lainText"/>
    <w:next w:val="Normal"/>
    <w:link w:val="Heading1Char"/>
    <w:uiPriority w:val="9"/>
    <w:qFormat/>
    <w:rsid w:val="00726E7F"/>
    <w:pPr>
      <w:spacing w:after="120"/>
      <w:outlineLvl w:val="0"/>
    </w:pPr>
    <w:rPr>
      <w:rFonts w:ascii="Century Gothic" w:hAnsi="Century Gothic"/>
      <w:b/>
      <w:bCs/>
      <w:color w:val="4CA14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4C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54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4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37CAF"/>
    <w:pPr>
      <w:ind w:left="720"/>
      <w:contextualSpacing/>
    </w:pPr>
  </w:style>
  <w:style w:type="table" w:styleId="TableGrid">
    <w:name w:val="Table Grid"/>
    <w:basedOn w:val="TableNormal"/>
    <w:uiPriority w:val="59"/>
    <w:rsid w:val="00D3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6E7F"/>
    <w:rPr>
      <w:rFonts w:ascii="Century Gothic" w:hAnsi="Century Gothic"/>
      <w:b/>
      <w:bCs/>
      <w:color w:val="4CA146"/>
      <w:sz w:val="36"/>
      <w:szCs w:val="36"/>
    </w:rPr>
  </w:style>
  <w:style w:type="paragraph" w:customStyle="1" w:styleId="BulletedList">
    <w:name w:val="BulletedList"/>
    <w:basedOn w:val="ListParagraph"/>
    <w:link w:val="BulletedListChar"/>
    <w:rsid w:val="00363797"/>
    <w:pPr>
      <w:numPr>
        <w:numId w:val="9"/>
      </w:numPr>
      <w:spacing w:after="180" w:line="240" w:lineRule="auto"/>
      <w:contextualSpacing w:val="0"/>
      <w:jc w:val="both"/>
    </w:pPr>
    <w:rPr>
      <w:rFonts w:ascii="Calibri" w:eastAsia="SimSun" w:hAnsi="Calibri" w:cs="Calibri"/>
      <w:lang w:val="en"/>
    </w:rPr>
  </w:style>
  <w:style w:type="character" w:customStyle="1" w:styleId="BulletedListChar">
    <w:name w:val="BulletedList Char"/>
    <w:link w:val="BulletedList"/>
    <w:rsid w:val="00363797"/>
    <w:rPr>
      <w:rFonts w:ascii="Calibri" w:eastAsia="SimSun" w:hAnsi="Calibri" w:cs="Calibri"/>
      <w:lang w:val="en"/>
    </w:rPr>
  </w:style>
  <w:style w:type="paragraph" w:styleId="Header">
    <w:name w:val="header"/>
    <w:basedOn w:val="Normal"/>
    <w:link w:val="HeaderChar"/>
    <w:uiPriority w:val="99"/>
    <w:unhideWhenUsed/>
    <w:rsid w:val="00363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97"/>
  </w:style>
  <w:style w:type="paragraph" w:styleId="Footer">
    <w:name w:val="footer"/>
    <w:basedOn w:val="Normal"/>
    <w:link w:val="FooterChar"/>
    <w:uiPriority w:val="99"/>
    <w:unhideWhenUsed/>
    <w:rsid w:val="00363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97"/>
  </w:style>
  <w:style w:type="character" w:customStyle="1" w:styleId="Heading3Char">
    <w:name w:val="Heading 3 Char"/>
    <w:basedOn w:val="DefaultParagraphFont"/>
    <w:link w:val="Heading3"/>
    <w:uiPriority w:val="9"/>
    <w:semiHidden/>
    <w:rsid w:val="00E56D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56DAA"/>
  </w:style>
  <w:style w:type="character" w:customStyle="1" w:styleId="g3">
    <w:name w:val="g3"/>
    <w:basedOn w:val="DefaultParagraphFont"/>
    <w:rsid w:val="00E56DAA"/>
  </w:style>
  <w:style w:type="character" w:customStyle="1" w:styleId="hb">
    <w:name w:val="hb"/>
    <w:basedOn w:val="DefaultParagraphFont"/>
    <w:rsid w:val="00E56DAA"/>
  </w:style>
  <w:style w:type="character" w:customStyle="1" w:styleId="apple-converted-space">
    <w:name w:val="apple-converted-space"/>
    <w:basedOn w:val="DefaultParagraphFont"/>
    <w:rsid w:val="00E56DAA"/>
  </w:style>
  <w:style w:type="character" w:customStyle="1" w:styleId="g2">
    <w:name w:val="g2"/>
    <w:basedOn w:val="DefaultParagraphFont"/>
    <w:rsid w:val="00E56DAA"/>
  </w:style>
  <w:style w:type="character" w:customStyle="1" w:styleId="il">
    <w:name w:val="il"/>
    <w:basedOn w:val="DefaultParagraphFont"/>
    <w:rsid w:val="00E56DAA"/>
  </w:style>
  <w:style w:type="character" w:customStyle="1" w:styleId="aqj">
    <w:name w:val="aqj"/>
    <w:basedOn w:val="DefaultParagraphFont"/>
    <w:rsid w:val="00E56DAA"/>
  </w:style>
  <w:style w:type="paragraph" w:customStyle="1" w:styleId="Default">
    <w:name w:val="Default"/>
    <w:rsid w:val="0057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3D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lainText"/>
    <w:next w:val="Normal"/>
    <w:link w:val="Heading1Char"/>
    <w:uiPriority w:val="9"/>
    <w:qFormat/>
    <w:rsid w:val="00726E7F"/>
    <w:pPr>
      <w:spacing w:after="120"/>
      <w:outlineLvl w:val="0"/>
    </w:pPr>
    <w:rPr>
      <w:rFonts w:ascii="Century Gothic" w:hAnsi="Century Gothic"/>
      <w:b/>
      <w:bCs/>
      <w:color w:val="4CA14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D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4C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D54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4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D37CAF"/>
    <w:pPr>
      <w:ind w:left="720"/>
      <w:contextualSpacing/>
    </w:pPr>
  </w:style>
  <w:style w:type="table" w:styleId="TableGrid">
    <w:name w:val="Table Grid"/>
    <w:basedOn w:val="TableNormal"/>
    <w:uiPriority w:val="59"/>
    <w:rsid w:val="00D37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26E7F"/>
    <w:rPr>
      <w:rFonts w:ascii="Century Gothic" w:hAnsi="Century Gothic"/>
      <w:b/>
      <w:bCs/>
      <w:color w:val="4CA146"/>
      <w:sz w:val="36"/>
      <w:szCs w:val="36"/>
    </w:rPr>
  </w:style>
  <w:style w:type="paragraph" w:customStyle="1" w:styleId="BulletedList">
    <w:name w:val="BulletedList"/>
    <w:basedOn w:val="ListParagraph"/>
    <w:link w:val="BulletedListChar"/>
    <w:rsid w:val="00363797"/>
    <w:pPr>
      <w:numPr>
        <w:numId w:val="9"/>
      </w:numPr>
      <w:spacing w:after="180" w:line="240" w:lineRule="auto"/>
      <w:contextualSpacing w:val="0"/>
      <w:jc w:val="both"/>
    </w:pPr>
    <w:rPr>
      <w:rFonts w:ascii="Calibri" w:eastAsia="SimSun" w:hAnsi="Calibri" w:cs="Calibri"/>
      <w:lang w:val="en"/>
    </w:rPr>
  </w:style>
  <w:style w:type="character" w:customStyle="1" w:styleId="BulletedListChar">
    <w:name w:val="BulletedList Char"/>
    <w:link w:val="BulletedList"/>
    <w:rsid w:val="00363797"/>
    <w:rPr>
      <w:rFonts w:ascii="Calibri" w:eastAsia="SimSun" w:hAnsi="Calibri" w:cs="Calibri"/>
      <w:lang w:val="en"/>
    </w:rPr>
  </w:style>
  <w:style w:type="paragraph" w:styleId="Header">
    <w:name w:val="header"/>
    <w:basedOn w:val="Normal"/>
    <w:link w:val="HeaderChar"/>
    <w:uiPriority w:val="99"/>
    <w:unhideWhenUsed/>
    <w:rsid w:val="00363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97"/>
  </w:style>
  <w:style w:type="paragraph" w:styleId="Footer">
    <w:name w:val="footer"/>
    <w:basedOn w:val="Normal"/>
    <w:link w:val="FooterChar"/>
    <w:uiPriority w:val="99"/>
    <w:unhideWhenUsed/>
    <w:rsid w:val="00363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97"/>
  </w:style>
  <w:style w:type="character" w:customStyle="1" w:styleId="Heading3Char">
    <w:name w:val="Heading 3 Char"/>
    <w:basedOn w:val="DefaultParagraphFont"/>
    <w:link w:val="Heading3"/>
    <w:uiPriority w:val="9"/>
    <w:semiHidden/>
    <w:rsid w:val="00E56D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E56DAA"/>
  </w:style>
  <w:style w:type="character" w:customStyle="1" w:styleId="g3">
    <w:name w:val="g3"/>
    <w:basedOn w:val="DefaultParagraphFont"/>
    <w:rsid w:val="00E56DAA"/>
  </w:style>
  <w:style w:type="character" w:customStyle="1" w:styleId="hb">
    <w:name w:val="hb"/>
    <w:basedOn w:val="DefaultParagraphFont"/>
    <w:rsid w:val="00E56DAA"/>
  </w:style>
  <w:style w:type="character" w:customStyle="1" w:styleId="apple-converted-space">
    <w:name w:val="apple-converted-space"/>
    <w:basedOn w:val="DefaultParagraphFont"/>
    <w:rsid w:val="00E56DAA"/>
  </w:style>
  <w:style w:type="character" w:customStyle="1" w:styleId="g2">
    <w:name w:val="g2"/>
    <w:basedOn w:val="DefaultParagraphFont"/>
    <w:rsid w:val="00E56DAA"/>
  </w:style>
  <w:style w:type="character" w:customStyle="1" w:styleId="il">
    <w:name w:val="il"/>
    <w:basedOn w:val="DefaultParagraphFont"/>
    <w:rsid w:val="00E56DAA"/>
  </w:style>
  <w:style w:type="character" w:customStyle="1" w:styleId="aqj">
    <w:name w:val="aqj"/>
    <w:basedOn w:val="DefaultParagraphFont"/>
    <w:rsid w:val="00E56DAA"/>
  </w:style>
  <w:style w:type="paragraph" w:customStyle="1" w:styleId="Default">
    <w:name w:val="Default"/>
    <w:rsid w:val="00577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3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9736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728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772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825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53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9290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2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9091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9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B5C4D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154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96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4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gif"/><Relationship Id="rId18" Type="http://schemas.openxmlformats.org/officeDocument/2006/relationships/hyperlink" Target="http://www.healthdatacollaborative.org/news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hyperlink" Target="mailto:CBarrett@unfoundation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ealthdatacollaborative.org/new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scianof@who.i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iffayk@who.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orkspace.who.int/sites/hdc/pages/home.aspx" TargetMode="External"/><Relationship Id="rId19" Type="http://schemas.openxmlformats.org/officeDocument/2006/relationships/hyperlink" Target="mailto:kitamuram@wh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gi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5162</Characters>
  <Application>Microsoft Office Word</Application>
  <DocSecurity>0</DocSecurity>
  <Lines>139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TIFFAY, Kathleen</dc:creator>
  <cp:lastModifiedBy>KITAMURA, Makiko</cp:lastModifiedBy>
  <cp:revision>2</cp:revision>
  <cp:lastPrinted>2016-05-11T10:26:00Z</cp:lastPrinted>
  <dcterms:created xsi:type="dcterms:W3CDTF">2016-05-12T11:09:00Z</dcterms:created>
  <dcterms:modified xsi:type="dcterms:W3CDTF">2016-05-12T11:09:00Z</dcterms:modified>
</cp:coreProperties>
</file>